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f4b7546fc390ccaf30f2c0480f5bf9b2cc79"/>
    <w:p>
      <w:pPr>
        <w:pStyle w:val="Heading3"/>
      </w:pPr>
      <w:r>
        <w:t xml:space="preserve">Какие последствия предусмотрены за неисполнение обязанности по принятию мер к урегулированию конфликта интересов?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Согласно статье 10 Федерального закона от 25.12.2008 № 273-ФЗ «О противодействии коррупции»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 При этом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таким лицом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они связаны имущественными, корпоративными или иными близкими отношениями. Непринятие мер по предотвращению или урегулированию конфликта интересов является правонарушением, влекущим за собой увольнение в связи с утратой доверия. В целях принятия мер по предотвращению и урегулированию конфликта интересов работнику, ставшему участником такой ситуации, следует незамедлительно сообщить о ее возникновении работодателю по утвержденной им форме или в свободной форме письменно, после чего в служебной деятельности руководствоваться указаниями работодателя.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2025-06-25T01:11:28Z</dcterms:created>
  <dcterms:modified xsi:type="dcterms:W3CDTF">2025-06-25T01:11:28Z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