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a70a57493215aedc205c9f24cf7e14108708b"/>
    <w:p>
      <w:pPr>
        <w:pStyle w:val="Heading3"/>
      </w:pPr>
      <w:r>
        <w:t xml:space="preserve">В каких случаях приговор, вступивший в законную силу, может быть отменен или изменен?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Основаниями отмены или изменения вступившего в законную силу приговора, определения или постановления суда являются существенные нарушения уголовного и (или) уголовно-процессуального закона, повлиявшие на исход дела (например, дело рассмотрено незаконным составом суда, было нарушено право осужденного на защиту, содеянное квалифицировано неправильно и т.д.), либо выявление обстоятельств, свидетельствующих о несоблюдении лицом условий и невыполнении им обязательств, предусмотренных досудебным соглашением о сотрудничестве.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2025-06-27T10:15:28Z</dcterms:created>
  <dcterms:modified xsi:type="dcterms:W3CDTF">2025-06-27T10:15:28Z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