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9e6a951b27a2643260cf2f30bc0fe053a74ae4"/>
    <w:p>
      <w:pPr>
        <w:pStyle w:val="Heading3"/>
      </w:pPr>
      <w:r>
        <w:t xml:space="preserve">Административная ответственность, предусмотренная российским законодательством за коррупционные правонарушения.</w:t>
      </w:r>
    </w:p>
    <w:p>
      <w:pPr>
        <w:pStyle w:val="FirstParagraph"/>
      </w:pPr>
      <w:r>
        <w:t xml:space="preserve">18.06.2025</w:t>
      </w:r>
    </w:p>
    <w:p>
      <w:pPr>
        <w:pStyle w:val="BodyText"/>
      </w:pPr>
      <w:r>
        <w:t xml:space="preserve">Административная ответственность установлена за незаконное вознаграждение от имени или в интересах юридического лица (ст. 19.28 КоАП РФ), а также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(ст. 19.29 КоАП РФ). Срок давности привлечения к административной ответственности за нарушения законодательства о противодействии коррупции составляет 6 лет с момента их совершения. Совершение правонарушения, предусмотренного ч. 1 ст. 19.28 КоАП РФ, 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pPr>
        <w:pStyle w:val="BodyText"/>
      </w:pPr>
      <w:r>
        <w:br/>
      </w:r>
    </w:p>
    <w:p>
      <w:pPr>
        <w:pStyle w:val="BodyText"/>
      </w:pPr>
      <w:r>
        <w:t xml:space="preserve">Адрес страницы:</w:t>
      </w:r>
      <w:r>
        <w:t xml:space="preserve"> </w:t>
      </w:r>
      <w:hyperlink r:id="rId20">
        <w:r>
          <w:rPr>
            <w:rStyle w:val="Hyperlink"/>
          </w:rPr>
          <w:t xml:space="preserve">http://yaroslavsky.mos.ru/the-prosecutor-explains/information-of-the-prosecutor-s-office/detail/13041451.html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3041451.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30414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2025-06-29T00:00:36Z</dcterms:created>
  <dcterms:modified xsi:type="dcterms:W3CDTF">2025-06-29T00:00:36Z</dcterms:modified>
</cp:coreProperties>
</file>

<file path=docProps/custom.xml><?xml version="1.0" encoding="utf-8"?>
<Properties xmlns="http://schemas.openxmlformats.org/officeDocument/2006/custom-properties" xmlns:vt="http://schemas.openxmlformats.org/officeDocument/2006/docPropsVTypes"/>
</file>