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окуратура-города-москвы-разъясняет"/>
    <w:p>
      <w:pPr>
        <w:pStyle w:val="Heading3"/>
      </w:pPr>
      <w:r>
        <w:t xml:space="preserve">ПРОКУРАТУРА ГОРОДА МОСКВЫ РАЗЪЯСНЯЕТ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drawing>
          <wp:inline>
            <wp:extent cx="5334000" cy="75430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ПДФ-Прокуратур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0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http://yaroslavsky.mos.ru/the-prosecutor-explains/information-of-the-prosecutor-s-office/detail/13034845.html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the-prosecutor-explains/information-of-the-prosecutor-s-office/detail/130348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the-prosecutor-explains/information-of-the-prosecutor-s-office/detail/130348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2025-07-07T18:17:25Z</dcterms:created>
  <dcterms:modified xsi:type="dcterms:W3CDTF">2025-07-07T18:17:25Z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