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e0707c4a1f76b5ff083f4bd0119a325cfb593"/>
    <w:p>
      <w:pPr>
        <w:pStyle w:val="Heading3"/>
      </w:pPr>
      <w:r>
        <w:t xml:space="preserve">Бабушкинский межрайонный прокурор г. Москвы информирует С 1 января 2026 года изменятся правила рассмотрения апелляционных жалоб в гражданском судопроизводстве.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Федеральный закон от 01.04.2025 № 49-ФЗ вносит изменения в ГПК РФ, передав полномочия по разрешению вопросов приемлемости апелляционных жалоб судам апелляционной инстанции. Подавать апелляционную жалобу, как и раньше, необходимо через суд, принявший решение.</w:t>
      </w:r>
    </w:p>
    <w:p>
      <w:pPr>
        <w:pStyle w:val="BodyText"/>
      </w:pPr>
      <w:r>
        <w:t xml:space="preserve">Также нововведения касаются заявлений о восстановлении пропущенного срока. По новым правилам они подаются в суд апелляционной инстанции. Одновременно с подачей заявления должно быть совершено необходимое процессуальное действие (подана жалоба, представлены</w:t>
      </w:r>
    </w:p>
    <w:p>
      <w:pPr>
        <w:pStyle w:val="BodyText"/>
      </w:pPr>
      <w:r>
        <w:t xml:space="preserve">документы), в отношении которого пропущен срок. Суд рассмотрит указанное заявление в пятидневный срок со дня его поступления </w:t>
      </w:r>
      <w:r>
        <w:t xml:space="preserve">без проведения судебного заседания и без извещения лиц, участвующих </w:t>
      </w:r>
      <w:r>
        <w:t xml:space="preserve">в деле. Определение об отказе в восстановлении пропущенного </w:t>
      </w:r>
      <w:r>
        <w:t xml:space="preserve">процессуального срока можно будет обжаловать в кассационный суд общей </w:t>
      </w:r>
      <w:r>
        <w:t xml:space="preserve">юрисдикции, кассационный военный суд. </w:t>
      </w:r>
      <w:r>
        <w:t xml:space="preserve">Внесены и иные изменения.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2025-07-26T07:49:56Z</dcterms:created>
  <dcterms:modified xsi:type="dcterms:W3CDTF">2025-07-26T07:49:56Z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