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05aeafca97596e41890534b0ac8c2308c473"/>
    <w:p>
      <w:pPr>
        <w:pStyle w:val="Heading3"/>
      </w:pPr>
      <w:r>
        <w:t xml:space="preserve">Бабушкинский межрайонный прокурор г. Москвы информирует С 1 июля 2025 года вступают в силу изменения в КоАП РФ об электронном документообороте и дистанционном участии в производстве по делам об административных правонарушениях.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Предусмотрена возможность направления жалобы, заявления, ходатайства по делу об административном правонарушении и прилагаемых к ним документов в форме электронного документа в суд посредством Единого портала госуслуг, либо Информационной системы, определенной Верховным Судом РФ, Судебным департаментом при Верховном Суде РФ,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взаимодействия. Законом также закрепляется порядок участия в рассмотрении дела об административном правонарушении путем использования веб-конференции.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2025-06-04T21:52:41Z</dcterms:created>
  <dcterms:modified xsi:type="dcterms:W3CDTF">2025-06-04T21:52:41Z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