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512ba86027348caf794cf98ca421233d05e07c"/>
    <w:p>
      <w:pPr>
        <w:pStyle w:val="Heading3"/>
      </w:pPr>
      <w:r>
        <w:t xml:space="preserve">Бабушкинский межрайонный прокурор г. Москвы информирует Федеральный закон от 23.05.2025 № 104-ФЗ внес изменения в КоАП РФ, усилив ответственность за нарушение правил защиты информации.</w:t>
      </w:r>
    </w:p>
    <w:p>
      <w:pPr>
        <w:pStyle w:val="FirstParagraph"/>
      </w:pPr>
      <w:r>
        <w:t xml:space="preserve">03.06.2025</w:t>
      </w:r>
    </w:p>
    <w:p>
      <w:pPr>
        <w:pStyle w:val="BodyText"/>
      </w:pPr>
      <w:r>
        <w:t xml:space="preserve">Так, например, вырос административный штраф за использование несертифицированных информационных систем, баз и банков данных, а также несертифицированных средств защиты информации, если они подлежат обязательной сертификации (за исключением средств защиты информации, составляющей государственную тайну). По новым правилам на граждан накладывается штраф в размере от 5 000 до 10 000 рублей с конфискацией несертифицированных средств защиты информации или без таковой; на должностных лиц - от 10 000 до 50 000 рублей; на юридических лиц - от 50 000 до 100 000 рублей с конфискацией несертифицированных средств защиты информации или без таковой. Увеличен штраф за использование несертифицированных средств, предназначенных для защиты информации, составляющей государственную тайну – должностных лиц он составляет от двадцати тысяч до пятидесяти тысяч рублей; для юридических лиц - от пятидесяти тысяч до ста тысяч рублей с конфискацией несертифицированных средств, предназначенных для защиты информации, составляющей государственную тайну, или без таковой. Срок давности привлечения к ответственности за данные нарушения увеличен до 1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http://yaroslavsky.mos.ru/the-prosecutor-explains/information-of-the-prosecutor-s-office/detail/13006647.html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30066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30066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2025-07-07T11:54:09Z</dcterms:created>
  <dcterms:modified xsi:type="dcterms:W3CDTF">2025-07-07T11:54:09Z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