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585a0717a062072df5e19bcae35c30c8fcf805"/>
    <w:p>
      <w:pPr>
        <w:pStyle w:val="Heading3"/>
      </w:pPr>
      <w:r>
        <w:t xml:space="preserve">График личного приема граждан в Бабушкинской межрайонной прокуратуре г. Москвы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drawing>
          <wp:inline>
            <wp:extent cx="5334000" cy="508487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график%20прокуратуры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84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http://yaroslavsky.mos.ru/the-prosecutor-explains/information-of-the-prosecutor-s-office/detail/12725517.html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the-prosecutor-explains/information-of-the-prosecutor-s-office/detail/127255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the-prosecutor-explains/information-of-the-prosecutor-s-office/detail/127255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2025-07-26T08:05:48Z</dcterms:created>
  <dcterms:modified xsi:type="dcterms:W3CDTF">2025-07-26T08:05:48Z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