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017a32026ee8b0b48ef6ba68df436b7e0396"/>
    <w:p>
      <w:pPr>
        <w:pStyle w:val="Heading3"/>
      </w:pPr>
      <w:r>
        <w:t xml:space="preserve">Подписан закон об уголовной ответственности за незаконное использование компьютерной информации, содержащей персональные данные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Закон от 30.11.2024 №421-ФЗ вводит в УК РФ новую статью 272.1 «Незаконные использование и (или) передача, сбор и (или) хранение компьютерной информации, содержащей персональные данные, а равно создание и (или) обеспечение функционирования информационных ресурсов, предназначенных для ее незаконных хранения и (или) распространения».</w:t>
      </w:r>
    </w:p>
    <w:p>
      <w:pPr>
        <w:pStyle w:val="BodyText"/>
      </w:pPr>
      <w:r>
        <w:t xml:space="preserve">Под трансграничным перемещением носителей информации, содержащих указанную в настоящей статье компьютерную информацию, в настоящей статье понимается совершение действий по ввозу на территорию Российской Федерации и (или) вывозу с территории Российской Федерации машиночитаемого носителя информации (в том числе магнитного и электронного), на который осуществлены запись и хранение такой информации.</w:t>
      </w:r>
    </w:p>
    <w:p>
      <w:pPr>
        <w:pStyle w:val="BodyText"/>
      </w:pPr>
      <w:r>
        <w:t xml:space="preserve">Статья предусматривает наказание в виде лишения свободы на срок до десяти лет со штрафом в размере до трех миллионов рублей, если деяния, предусмотренные частями первой, второй, третьей или четвертой данной статьи, повлекли тяжкие последствия либо совершены организованной группой.</w:t>
      </w:r>
    </w:p>
    <w:p>
      <w:pPr>
        <w:pStyle w:val="BodyText"/>
      </w:pPr>
      <w:r>
        <w:t xml:space="preserve">Также введено наказание за совершение деяний, предусмотренных частями первой, второй или третьей данной статьи, сопряженных с трансграничной передачей компьютерной информации, содержащей персональные данные, и (или) трансграничным перемещением носителей информации, содержащих персональные данные.</w:t>
      </w:r>
    </w:p>
    <w:p>
      <w:pPr>
        <w:pStyle w:val="BodyText"/>
      </w:pPr>
      <w:r>
        <w:t xml:space="preserve">Действие статьи не распространяется на случаи обработки персональных данных физическими лицами исключительно для личных и семейных нужд.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http://yaroslavsky.mos.ru/the-prosecutor-explains/information-of-the-prosecutor-s-office/detail/12725443.html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2025-04-13T18:16:32Z</dcterms:created>
  <dcterms:modified xsi:type="dcterms:W3CDTF">2025-04-13T18:16:32Z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