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47850315411aa19ed9246bcd603f4b21270f"/>
    <w:p>
      <w:pPr>
        <w:pStyle w:val="Heading3"/>
      </w:pPr>
      <w:r>
        <w:t xml:space="preserve">С 1 марта 2025 года устанавливаются особенности функционирования информационной системы мониторинга в условиях аварийной ситуации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Под аварийной ситуацией понимается сбой в работе, приведший к временному нарушению или прекращению работы информационной системы, который может привести к нарушению конфиденциальности, целостности и доступности информации.</w:t>
      </w:r>
    </w:p>
    <w:p>
      <w:pPr>
        <w:pStyle w:val="BodyText"/>
      </w:pPr>
      <w:r>
        <w:t xml:space="preserve">Определен порядок действия оператора информационной системы мониторинга, а также участников оборота товаров.</w:t>
      </w:r>
    </w:p>
    <w:p>
      <w:pPr>
        <w:pStyle w:val="BodyText"/>
      </w:pPr>
      <w:r>
        <w:t xml:space="preserve">Предусматривается, что непредставление сведений или несоблюдение порядка и сроков представления сведений либо представление неполных или недостоверных сведений участниками оборота товаров оператору в период действия аварийной ситуации, а также в течение 3 рабочих дней со дня, следующего за днем оповещения оператором об окончании периода действия аварийной ситуации, если более длительный срок не предусмотрен правилами маркировки отдельных товаров, в отношении которых введена обязательная маркировка, не является нарушением правил маркировки отдельных товаров, в отношении которых введена обязательная маркировка.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http://yaroslavsky.mos.ru/the-prosecutor-explains/information-of-the-prosecutor-s-office/detail/12725398.html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72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2025-04-13T18:16:36Z</dcterms:created>
  <dcterms:modified xsi:type="dcterms:W3CDTF">2025-04-13T18:16:36Z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