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331e0bb4c5ec577f757aafda266b78555ef04"/>
    <w:p>
      <w:pPr>
        <w:pStyle w:val="Heading3"/>
      </w:pPr>
      <w:r>
        <w:t xml:space="preserve">Бабушкинской межрайонной прокуратурой г. Москвы утверждено обвинительное постановление в отношении 21-летнего уроженца Республики Таджикистан, совершившего кражу.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В рамках рассмотрения уголовного дела было установлено, что обвиняемый, будучи принятым по устной договорённости на краткосрочную работу в качестве продавца-кассира в один из магазинов «Магнит» в городе Москве, без наделения его материальной ответственностью за денежные средства, товар и иные материальные ценности магазина, совершил тайное хищение чужого имущества.</w:t>
      </w:r>
    </w:p>
    <w:p>
      <w:pPr>
        <w:pStyle w:val="BodyText"/>
      </w:pPr>
      <w:r>
        <w:t xml:space="preserve">Согласно материалам дела, 18 мая 2024 года, находясь на рабочем месте за кассовым аппаратом в помещении вышеуказанного магазина «Магнит», убедившись, что за ним никто не наблюдает, обвиняемый достал из денежного ящика кассового аппарата купюру достоинством 5 000 рублей и с похищенным чужим имуществом скрылся.</w:t>
      </w:r>
    </w:p>
    <w:p>
      <w:pPr>
        <w:pStyle w:val="BodyText"/>
      </w:pPr>
      <w:r>
        <w:t xml:space="preserve">Данный случай является примером того, как нарушение правил приёма на работу и отсутствие должного контроля со стороны работодателя могут привести к совершению преступления сотрудником. Это подчёркивает важность соблюдения всех необходимых процедур при приёме на работу, а также необходимость обеспечения надлежащего контроля за действиями сотрудников.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http://yaroslavsky.mos.ru/the-prosecutor-explains/information-of-the-prosecutor-s-office/detail/12452534.html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2024-07-16T17:59:37Z</dcterms:created>
  <dcterms:modified xsi:type="dcterms:W3CDTF">2024-07-16T17:59:37Z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