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c4023c0d58913f9b047d1d641ebab3e9b0ed1"/>
    <w:p>
      <w:pPr>
        <w:pStyle w:val="Heading3"/>
      </w:pPr>
      <w:r>
        <w:t xml:space="preserve">Бабушкинской межрайонной прокуратурой г. Москвы проведен мониторинг сети интернет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г. Москвы проведен мониторинг</w:t>
      </w:r>
      <w:r>
        <w:t xml:space="preserve"> </w:t>
      </w:r>
      <w:r>
        <w:t xml:space="preserve">сети интернет, в ходе которого обнаружен сайт, содержащий информацию о способах незаконного уклонения от налогов.</w:t>
      </w:r>
    </w:p>
    <w:p>
      <w:pPr>
        <w:pStyle w:val="BodyText"/>
      </w:pPr>
      <w:r>
        <w:t xml:space="preserve">В этой связи Бабушкинской межрайонной прокуратурой г. Москвы в июне 2024 года в Останкинский районный суд г. Москвы направлено административное исковое заявление о признании информации в сети «Интернет» - запрещенной к распространению на территории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2024-10-30T05:36:13Z</dcterms:created>
  <dcterms:modified xsi:type="dcterms:W3CDTF">2024-10-30T05:36:13Z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