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0cd88d45df9996eaadd6f880c0e0dde66d115"/>
    <w:p>
      <w:pPr>
        <w:pStyle w:val="Heading3"/>
      </w:pPr>
      <w:r>
        <w:t xml:space="preserve">Бабушкинской межрайонной прокуратурой города Москвы проведена проверка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rPr>
          <w:bCs/>
          <w:b/>
        </w:rPr>
        <w:t xml:space="preserve">Бабушкинской межрайонной прокуратурой города Москвы проведена проверка</w:t>
      </w:r>
      <w:r>
        <w:t xml:space="preserve"> </w:t>
      </w:r>
      <w:r>
        <w:t xml:space="preserve">информации о нарушении антикоррупционного законодательства при трудоустройстве бывшего государственного служащего регионального</w:t>
      </w:r>
      <w:r>
        <w:br/>
      </w:r>
      <w:r>
        <w:t xml:space="preserve">УФСИН России в ООО «Лофтмебель».</w:t>
      </w:r>
      <w:r>
        <w:br/>
      </w:r>
      <w:r>
        <w:t xml:space="preserve">Установлено, что в нарушение п. 4 ст. 12 12 Федерального закона</w:t>
      </w:r>
      <w:r>
        <w:br/>
      </w:r>
      <w:r>
        <w:t xml:space="preserve">от 25.12.2008 № 273-ФЗ «О противодействии коррупции» работодателем сообщение о заключении трудового договора с лицом, ранее замещавшим должность государственной службы, в региональном УФСИН России не направлено.</w:t>
      </w:r>
    </w:p>
    <w:p>
      <w:pPr>
        <w:pStyle w:val="BodyText"/>
      </w:pPr>
      <w:r>
        <w:t xml:space="preserve">По данному факту в адрес генерального директора ООО «Лофтмебель» направлено представление, а также возбуждено дело об административном правонарушении по ст. 19.29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2025-01-05T04:59:25Z</dcterms:created>
  <dcterms:modified xsi:type="dcterms:W3CDTF">2025-01-05T04:59:25Z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