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7a4cce86710d4129db2db8efe36041a659f667"/>
    <w:p>
      <w:pPr>
        <w:pStyle w:val="Heading3"/>
      </w:pPr>
      <w:r>
        <w:t xml:space="preserve">Бабушкинский межрайонный прокурор г. Москвы разъясняет Минфин рассмотрел вопрос об обнаружении клада</w:t>
      </w:r>
    </w:p>
    <w:p>
      <w:pPr>
        <w:pStyle w:val="FirstParagraph"/>
      </w:pPr>
      <w:r>
        <w:t xml:space="preserve">28.06.2024</w:t>
      </w:r>
    </w:p>
    <w:p>
      <w:pPr>
        <w:pStyle w:val="BodyText"/>
      </w:pPr>
      <w:r>
        <w:t xml:space="preserve">В Письме Минфина России от 11.06.2024 N 22-01-10/54043 отмечается, что приказом Минфина от 01.11.2021 N 168н определены условия, сроки и процедура передачи обращенных в собственность государства драгоценных металлов, а также сырья, сплавов, полуфабрикатов, изделий (продукции), химических соединений, лома и отходов производства и потребления, содержащих в своем составе не менее 10 процентов драгоценных металлов, и драгоценных камней, в том числе в ювелирных и других изделиях из драгоценных металлов и (или) драгоценных камней, Минфину.</w:t>
      </w:r>
    </w:p>
    <w:p>
      <w:pPr>
        <w:pStyle w:val="BodyText"/>
      </w:pPr>
      <w:r>
        <w:t xml:space="preserve">В соответствии с пунктом 2 Порядка, утвержденного указанным приказом, ценности, входящие в состав клада и являющиеся культурными ценностями, вне зависимости от собственника земельного участка или иного имущества, где был обнаружен клад, подлежат передаче Минфину.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http://yaroslavsky.mos.ru/the-prosecutor-explains/information-of-the-prosecutor-s-office/detail/12452388.html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4523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4523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2025-01-05T04:57:20Z</dcterms:created>
  <dcterms:modified xsi:type="dcterms:W3CDTF">2025-01-05T04:57:20Z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