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298584976bf9bd6078c887249d4b94bd18e86"/>
    <w:p>
      <w:pPr>
        <w:pStyle w:val="Heading3"/>
      </w:pPr>
      <w:r>
        <w:t xml:space="preserve">Бабушкинский межрайонный прокурор г. Москвы разъясняет Минэкономразвития утверждены порядок и критерии принятия решения о привлечении хозяйственного общества к управлению особой экономической зоной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Указанные положения урегулированы в Приказе Минэкономразвития России от 20.05.2024 N 291 "Об утверждении порядка и критериев принятия решения о привлечении хозяйственного общества к управлению особой экономической зоной" Зарегистрировано в Минюсте России 10.06.2024 N 78511.</w:t>
      </w:r>
    </w:p>
    <w:p>
      <w:pPr>
        <w:pStyle w:val="BodyText"/>
      </w:pPr>
      <w:r>
        <w:t xml:space="preserve">Решение о привлечении хозяйственного общества к управлению ОЭЗ принимается Минэкономразвития самостоятельно или по предложению высшего исполнительного органа субъекта РФ, на территории которого решением Правительства создана ОЭЗ, на основании установленных критериев.</w:t>
      </w:r>
    </w:p>
    <w:p>
      <w:pPr>
        <w:pStyle w:val="BodyText"/>
      </w:pPr>
      <w:r>
        <w:t xml:space="preserve">В числе таких критериев, в частности:</w:t>
      </w:r>
    </w:p>
    <w:p>
      <w:pPr>
        <w:pStyle w:val="BodyText"/>
      </w:pPr>
      <w:r>
        <w:t xml:space="preserve">1. наличие у хозяйственного общества или его учредителей (участников) опыта создания и обеспечения функционирования объектов инфраструктуры и готовность заключить соглашение о создании ОЭЗ и об управлении ОЭЗ или дополнительное соглашение к такому соглашению;</w:t>
      </w:r>
    </w:p>
    <w:p>
      <w:pPr>
        <w:pStyle w:val="BodyText"/>
      </w:pPr>
      <w:r>
        <w:t xml:space="preserve">2. отсутствие у хозяйственного общества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о налогах и сборах;</w:t>
      </w:r>
    </w:p>
    <w:p>
      <w:pPr>
        <w:pStyle w:val="BodyText"/>
      </w:pPr>
      <w:r>
        <w:t xml:space="preserve">3. отсутствие у хозяйственного общества просроченной задолженности перед бюджетами бюджетной системы РФ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2025-01-05T05:00:57Z</dcterms:created>
  <dcterms:modified xsi:type="dcterms:W3CDTF">2025-01-05T05:00:57Z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