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5e3680dbb37d5f1250f745094884ed467599"/>
    <w:p>
      <w:pPr>
        <w:pStyle w:val="Heading3"/>
      </w:pPr>
      <w:r>
        <w:t xml:space="preserve">Бабушкинский межрайонный прокурор г. Москвы разъясняет Закреплен правовой статус центров раннего физического развития детей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В соответствии с Федеральным законом от 12.06.2024 N 139-ФЗ "О внесении изменений в Федеральный закон "О физической культуре и спорте в Российской Федерации" и статью 84 Федерального закона "Об образовании в Российской Федерации"</w:t>
      </w:r>
    </w:p>
    <w:p>
      <w:pPr>
        <w:pStyle w:val="BodyText"/>
      </w:pPr>
      <w:r>
        <w:t xml:space="preserve">Центры раннего физического развития детей могут создаваться в целях выявления одаренных детей, развития их способностей к занятиям физической культурой и спортом. Закреплено, что указанные центры осуществляют образовательную деятельность, направленную на физическую подготовку детей, приобретение ими знаний и навыков в области физической культуры и спорта, физическое совершенствование детей, формирование культуры здорового образа жизни, укрепление здоровья.</w:t>
      </w:r>
    </w:p>
    <w:p>
      <w:pPr>
        <w:pStyle w:val="BodyText"/>
      </w:pPr>
      <w:r>
        <w:t xml:space="preserve">Подписанным законом центры раннего физического развития детей отнесены к субъектам физической культуры и спорта в РФ. Данные центры будут оценивать способности детей к занятиям отдельными видами спорта и смогут осуществлять подготовку детей к выполнению нормативов испытаний комплекса ГТО.</w:t>
      </w:r>
    </w:p>
    <w:p>
      <w:pPr>
        <w:pStyle w:val="BodyText"/>
      </w:pPr>
      <w:r>
        <w:t xml:space="preserve">Особенности деятельности указанных центров установит Минспорт по согласованию с Минпросвещения и Минздравом.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2024-10-29T19:55:46Z</dcterms:created>
  <dcterms:modified xsi:type="dcterms:W3CDTF">2024-10-29T19:55:46Z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