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0daa7ef0dcc8f78b19c8f7d84aedc1251293"/>
    <w:p>
      <w:pPr>
        <w:pStyle w:val="Heading3"/>
      </w:pPr>
      <w:r>
        <w:t xml:space="preserve">Бабушкинский межрайонный прокурор г. Москвы разъясняет Россия ратифицировала соглашение о свободной торговле между ЕАЭС и Ираном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соответствии с Федеральным законом от 12.06.2024 N 131-ФЗ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стороны"</w:t>
      </w:r>
    </w:p>
    <w:p>
      <w:pPr>
        <w:pStyle w:val="BodyText"/>
      </w:pPr>
      <w:r>
        <w:t xml:space="preserve">Соглашение, подписанное в городе Санкт-Петербурге 25 декабря 2023 года, предусматривает установление сотрудничества в различных сферах, в том числе добычи, переработки и использования полезных ископаемых, энергоэффективности, исследований и инноваций, образования, медицины, транспорта, включая развитие мультимодальных (смешанных) перевозок, телекоммуникаций, транспортной и логистической инфраструктуры и транспортных коридоров.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2024-10-29T20:05:18Z</dcterms:created>
  <dcterms:modified xsi:type="dcterms:W3CDTF">2024-10-29T20:05:18Z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