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39a927f77237ef3358cdd8d40e2f36cf93c99"/>
    <w:p>
      <w:pPr>
        <w:pStyle w:val="Heading3"/>
      </w:pPr>
      <w:r>
        <w:t xml:space="preserve">Бабушкинский межрайонный прокурор г. Москвы разъясняет Федеральное медико-биологическое агентство перешло под руководство Президента РФ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 Президента РФ от 17.06.2024 N 522 "О Федеральном медико-биологическом агентстве"</w:t>
      </w:r>
    </w:p>
    <w:p>
      <w:pPr>
        <w:pStyle w:val="BodyText"/>
      </w:pPr>
      <w:r>
        <w:t xml:space="preserve">Соответствующие изменения внесены в структуру федеральных органов исполнительной власти, утвержденную Указом Президента от 11 мая 2024 г. N 326.</w:t>
      </w:r>
    </w:p>
    <w:p>
      <w:pPr>
        <w:pStyle w:val="BodyText"/>
      </w:pPr>
      <w:r>
        <w:t xml:space="preserve">Настоящий Указ вступает в силу со дня его подписания.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2025-06-21T15:24:23Z</dcterms:created>
  <dcterms:modified xsi:type="dcterms:W3CDTF">2025-06-21T15:24:23Z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