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258d4273af056a26caed6dfa0389649e2e4e5"/>
    <w:p>
      <w:pPr>
        <w:pStyle w:val="Heading3"/>
      </w:pPr>
      <w:r>
        <w:t xml:space="preserve">Бабушкинский межрайонный прокурор г. Москвы разъясняет Установлены порядок и сроки передачи в МВД России для учета, хранения и использования дактилоскопической информации, полученной представительствами (представителями) МВД России за рубежом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Речь идет о дактилоскопической информации, полученной в отношении иностранных граждан и лиц без гражданства, желающих въехать в РФ: в целях осуществления трудовой деятельности; в целях, не связанных с осуществлением трудовой деятельности, на срок, превышающий 90 дней со дня въезда в РФ.</w:t>
      </w:r>
    </w:p>
    <w:p>
      <w:pPr>
        <w:pStyle w:val="BodyText"/>
      </w:pPr>
      <w:r>
        <w:t xml:space="preserve">Указанный порядок регламентируется Приказом МВД России от 29.05.2024 N 293 "Об установлении Порядка и сроков передачи в Министерство внутренних дел Российской Федерации для учета, хранения и использования дактилоскопической информации, полученной представительствами (представителями) Министерства внутренних дел Российской Федерации за рубежом в отношении лиц, указанных в пунктах "п" и "х" части первой статьи 9 Федерального закона от 25 июля 1998 г. N 128-ФЗ "О государственной дактилоскопической регистрации в Российской Федерации", из числа желающих въехать в Российскую Федерацию и обратившихся для прохождения обязательной государственной дактилоскопической регистрации за пределами Российской Федерации" Зарегистрировано в Минюсте России 14.06.2024 N 78546.</w:t>
      </w:r>
    </w:p>
    <w:p>
      <w:pPr>
        <w:pStyle w:val="BodyText"/>
      </w:pPr>
      <w:r>
        <w:t xml:space="preserve">Реализованы положения Федерального закона от 25 декабря 2023 г. N 648-ФЗ "О внесении изменений в отдельные законодательные акты Российской Федерации".</w:t>
      </w:r>
    </w:p>
    <w:p>
      <w:pPr>
        <w:pStyle w:val="BodyText"/>
      </w:pPr>
      <w:r>
        <w:t xml:space="preserve">Настоящий приказ вступает в силу с 23 июня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2025-03-01T03:32:58Z</dcterms:created>
  <dcterms:modified xsi:type="dcterms:W3CDTF">2025-03-01T03:32:58Z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