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e4a25b7aa8d00b60d410921163c4dc173c5fc2"/>
    <w:p>
      <w:pPr>
        <w:pStyle w:val="Heading3"/>
      </w:pPr>
      <w:r>
        <w:t xml:space="preserve">Бабушкинский межрайонный прокурор г. Москвы информирует Утверждены условия и порядок предоставления и распределения в 2024 году субсидий бюджетам присоединенных территорий на реализацию мероприятий, направленных на поддержку субъектов МСП, осуществляющих</w:t>
      </w:r>
    </w:p>
    <w:p>
      <w:pPr>
        <w:pStyle w:val="FirstParagraph"/>
      </w:pPr>
      <w:r>
        <w:t xml:space="preserve">28.06.2024</w:t>
      </w:r>
    </w:p>
    <w:p>
      <w:pPr>
        <w:pStyle w:val="BodyText"/>
      </w:pPr>
      <w:r>
        <w:t xml:space="preserve">На основании Постановления Правительства РФ от 13.06.2024 N 800</w:t>
      </w:r>
      <w:r>
        <w:br/>
      </w:r>
      <w:r>
        <w:t xml:space="preserve">"О внесении изменений в постановление Правительства Российской Федерации от 15 апреля 2014 г. N 316" за счет средств субсидии обеспечивается предоставление грантов на реализацию проектов, относящихся к социально значимым видам деятельности, по перечню согласно приложению N 1.</w:t>
      </w:r>
    </w:p>
    <w:p>
      <w:pPr>
        <w:pStyle w:val="BodyText"/>
      </w:pPr>
      <w:r>
        <w:t xml:space="preserve">Размер гранта определяется конкурсной комиссией пропорционально размеру расходов субъекта МСП, предусмотренных бизнес-планом на реализацию нового социально значимого проекта или на расширение своей деятельности при реализации ранее созданного социально значимого проекта.</w:t>
      </w:r>
    </w:p>
    <w:p>
      <w:pPr>
        <w:pStyle w:val="BodyText"/>
      </w:pPr>
      <w:r>
        <w:t xml:space="preserve">Максимальный размер гранта не может превышать 300 тыс. рублей на одного субъекта МСП.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http://yaroslavsky.mos.ru/the-prosecutor-explains/information-of-the-prosecutor-s-office/detail/12452117.html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24521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24521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2025-07-25T23:16:02Z</dcterms:created>
  <dcterms:modified xsi:type="dcterms:W3CDTF">2025-07-25T23:16:02Z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