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26cd30e03cb35e570fa23fb1cb1ca6690eb65"/>
    <w:p>
      <w:pPr>
        <w:pStyle w:val="Heading3"/>
      </w:pPr>
      <w:r>
        <w:t xml:space="preserve">Бабушкинский межрайонный прокурор г. Москвы разъясняет Утверждена форма уведомления об исключении организации из перечня лиц, к которым применяются санкционные ограничения, в связи с истечением срока включения в указанный перечень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положения урегулированы в Приказе Минфина России от 27.04.2024 N 52н "О внесении изменений в приказ Министерства финансов Российской Федерации от 18 ноября 2022 г. N 173н"</w:t>
      </w:r>
      <w:r>
        <w:br/>
      </w:r>
      <w:r>
        <w:br/>
      </w:r>
    </w:p>
    <w:p>
      <w:pPr>
        <w:pStyle w:val="BodyText"/>
      </w:pPr>
      <w:r>
        <w:t xml:space="preserve">Кроме того, в новой редакции изложены форма заявления о включении в перечень лиц, к которым применяются, могут быть применены или на которых распространяются ограничительные меры, а также форма выписки из указанного перечня (приложения N 1 и N 10 к приказу 173н).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2025-03-13T11:20:10Z</dcterms:created>
  <dcterms:modified xsi:type="dcterms:W3CDTF">2025-03-13T11:20:10Z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