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19366675d468630f779d807eda0d36b586f8a1"/>
    <w:p>
      <w:pPr>
        <w:pStyle w:val="Heading3"/>
      </w:pPr>
      <w:r>
        <w:t xml:space="preserve">Бабушкинской межрайонной прокуратурой проведена проверка соблюдения требований жилищно-коммунального законодательства.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проведена проверка соблюдения требований жилищно-коммунального законодательства.</w:t>
      </w:r>
    </w:p>
    <w:p>
      <w:pPr>
        <w:pStyle w:val="BodyText"/>
      </w:pPr>
      <w:r>
        <w:t xml:space="preserve">Так, по результатам проведенного мониторинга сведений, подлежащих обязательному размещению в Государственной информационной системе жилищно—коммунального хозяйства (далее ГИС ЖКХ), в деятельности ЖСК</w:t>
      </w:r>
      <w:r>
        <w:t xml:space="preserve">«Тайнинский» выявлены нарушения требований федерального законодательства, в том числе регулирующего правоотношения, направленные на реализацию национального проекта «Жилье и городская среда».</w:t>
      </w:r>
      <w:r>
        <w:t xml:space="preserve">В нарушении ст. 161, ч. 4 ст. 165 Жилищного кодекса Российской Федерации, </w:t>
      </w:r>
      <w:r>
        <w:t xml:space="preserve">ч. 3 ст. 7 Федерального закона от 21.07.2014 № 209-ФЗ</w:t>
      </w:r>
      <w:r>
        <w:t xml:space="preserve">«О государственной информационной системе жилищно-коммунального хозяйства» совместным приказом Минкомсвязи России и Минстроя России от 29.02.2016 № 74, 114/пp председателем правления не размещена в полном объеме информация о перечне оказываемых услуг по управлению общим имуществом в многоквартирном доме о выполняемых работах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работ.</w:t>
      </w:r>
      <w:r>
        <w:t xml:space="preserve">Кроме того, отсутствует информация об объектах государственного учета жилищного фонда, включая их технические характеристики и состояние и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 и необходимых для предоставления коммунальных услуг, в многоквартирньте дома, жилые дома.</w:t>
      </w:r>
      <w:r>
        <w:t xml:space="preserve">В связи с вышеизложенным, председателю правления внесено представление об устранении нарушений федерального законодательства, по результатам рассмотрения которого 2 лица привлечено к дисциплинарной ответственности.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http://yaroslavsky.mos.ru/the-prosecutor-explains/information-of-the-prosecutor-s-office/detail/12395859.html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239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239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2024-10-25T02:55:07Z</dcterms:created>
  <dcterms:modified xsi:type="dcterms:W3CDTF">2024-10-25T02:55:07Z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