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70df96b36465255eaedf4ce6c507f77afa316b"/>
    <w:p>
      <w:pPr>
        <w:pStyle w:val="Heading3"/>
      </w:pPr>
      <w:r>
        <w:t xml:space="preserve">Бабушкинской межрайонной прокуратурой г. Москвы проведена проверка соблюдения требований налогового законодательства и законодательства о государственной регистрации юридических лиц и индивидуальных предпринимателей.</w:t>
      </w:r>
    </w:p>
    <w:p>
      <w:pPr>
        <w:pStyle w:val="FirstParagraph"/>
      </w:pPr>
      <w:r>
        <w:t xml:space="preserve">30.01.2024</w:t>
      </w:r>
    </w:p>
    <w:p>
      <w:pPr>
        <w:pStyle w:val="BodyText"/>
      </w:pPr>
      <w:r>
        <w:t xml:space="preserve">По информации Инспекции ФНС России № 16 по г. Москве, содержащей сведения о выявлении адреса массовой регистрации по адресу: г. Москва,</w:t>
      </w:r>
      <w:r>
        <w:br/>
      </w:r>
      <w:r>
        <w:t xml:space="preserve">ул. Искры, д.31, к. 1, помещ. 4Ч, проведена проверка, по результатам которой выявлен ряд нарушений, в связи с которыми в Бабушкинский районный суд</w:t>
      </w:r>
      <w:r>
        <w:br/>
      </w:r>
      <w:r>
        <w:t xml:space="preserve">г. Москвы в порядке ст. 45 ГПК РФ направлено исковое заявление о признании указанного адреса адресом массовой регистрации, сведения о котором были внесены в государственный реестр без намерения использовать его для размещения исполнительных органов и осуществления связи с зарегистрированными юридическими лицами и признании недостоверными сведения</w:t>
      </w:r>
      <w:r>
        <w:br/>
      </w:r>
      <w:r>
        <w:t xml:space="preserve">об адресе 58 юридических лиц, который находится на рассмотрении.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http://yaroslavsky.mos.ru/the-prosecutor-explains/information-of-the-prosecutor-s-office/detail/12136087.html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21360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21360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2024-11-07T04:13:46Z</dcterms:created>
  <dcterms:modified xsi:type="dcterms:W3CDTF">2024-11-07T04:13:46Z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