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38cfd119ceab40c10e6e57568d381481bc4ab"/>
    <w:p>
      <w:pPr>
        <w:pStyle w:val="Heading3"/>
      </w:pPr>
      <w:r>
        <w:t xml:space="preserve">Московско-Ярославская транспортная прокуратура разъясняет. Является ли уголовно наказуемым деяниям, использование найденной банковской карты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t xml:space="preserve">Использование чужой банковской карты, обнаруженной где-либо, категорически запрещено. Обнаруженная, а затем использованная чужая банковская карта не будет являться находкой в соответствии со ст. 227 Гражданского кодекса РФ.</w:t>
      </w:r>
    </w:p>
    <w:p>
      <w:pPr>
        <w:pStyle w:val="BodyText"/>
      </w:pPr>
      <w:r>
        <w:t xml:space="preserve">Оплата товаров либо иное списание денежных средств бесконтактным способом (через банкомат, путем перевода на другой банковский счет, путем совершения покупок через Интернет) образует состав преступления, предусмотренного п. «г» ч. 3 ст. 158 УК РФ, а именно кража, совершенная с банковского счета, а равно в отношении электронных денежных средств (при отсутствии признаков преступления, предусмотренного ст. 159.3 УК РФ).</w:t>
      </w:r>
    </w:p>
    <w:p>
      <w:pPr>
        <w:pStyle w:val="BodyText"/>
      </w:pPr>
      <w:r>
        <w:t xml:space="preserve">Аналогично квалифицируется списание денег со счета потерпевшего с применением похищенной банковской карты.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или без такового.</w:t>
      </w:r>
    </w:p>
    <w:p>
      <w:pPr>
        <w:pStyle w:val="BodyText"/>
      </w:pPr>
      <w:r>
        <w:t xml:space="preserve">Кража с банковского счета, независимо от суммы похищенного является тяжким преступлением. В силу ст. 25 УПК РФ уголовные дела о таких преступлениях не подлежат прекращению в связи с примирением с потерпевшим и согласно ст. 314 УПК РФ не могут быть рассмотрены в особом порядке судебного разбирательства.</w:t>
      </w:r>
    </w:p>
    <w:p>
      <w:pPr>
        <w:pStyle w:val="BodyText"/>
      </w:pPr>
      <w:r>
        <w:t xml:space="preserve">Помощник прокурора Сигунов В.С.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http://yaroslavsky.mos.ru/the-prosecutor-explains/information-of-the-prosecutor-s-office/detail/11623612.html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2023-09-21T01:40:55Z</dcterms:created>
  <dcterms:modified xsi:type="dcterms:W3CDTF">2023-09-21T01:40:55Z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