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41af4123d638e4e9f756cec13397d7a210972"/>
    <w:p>
      <w:pPr>
        <w:pStyle w:val="Heading3"/>
      </w:pPr>
      <w:r>
        <w:t xml:space="preserve">Прокуратурой округа утверждено обвинительное заключение по уголовному делу по обвинению 46-летнего жителя Москвы</w:t>
      </w:r>
    </w:p>
    <w:p>
      <w:pPr>
        <w:pStyle w:val="FirstParagraph"/>
      </w:pPr>
      <w:r>
        <w:t xml:space="preserve">03.03.2023</w:t>
      </w:r>
    </w:p>
    <w:p>
      <w:pPr>
        <w:pStyle w:val="BodyText"/>
      </w:pPr>
      <w:r>
        <w:t xml:space="preserve">Прокуратурой округа утверждено обвинительное заключение по уголовному делу по обвинению 46-летнего жителя Москвы, ранее являющегося учредителем общества с ограниченной ответственностью «Н…», в совершении преступления, предусмотренного п. «б» ч. 2 ст. 199 УК РФ (уклонение от уплаты налогов, подлежащих уплате организацией, путем включения в налоговую декларацию заведомо ложных сведений, в особо крупном размере).</w:t>
      </w:r>
    </w:p>
    <w:p>
      <w:pPr>
        <w:pStyle w:val="BodyText"/>
      </w:pPr>
      <w:r>
        <w:t xml:space="preserve">  Предварительным следствием установлено, что обвиняемый в 2015-2017 финансовых годах, используя аффилированные юридические лица, уклоняется от уплаты налога на добавленную стоимость на общую сумму 60 млн. рублей.</w:t>
      </w:r>
    </w:p>
    <w:p>
      <w:pPr>
        <w:pStyle w:val="BodyText"/>
      </w:pPr>
      <w:r>
        <w:t xml:space="preserve">  В отношении обвиняемого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  Прокуратурой округа подан гражданский иск в порядке ст. 44 УПК РФ на взыскание с обвиняемого 60 млн. рублей в доход Российской Федерации и в счет возмещения ущерба, причиненного совершенным преступлением.</w:t>
      </w:r>
    </w:p>
    <w:p>
      <w:pPr>
        <w:pStyle w:val="BodyText"/>
      </w:pPr>
      <w:r>
        <w:t xml:space="preserve">  Уголовное дело направлено в Останкинский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Прокурор округа Н.Г. Батищев.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http://yaroslavsky.mos.ru/the-prosecutor-explains/information-of-the-prosecutor-s-office/detail/11443359.html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443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443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2025-02-17T20:13:46Z</dcterms:created>
  <dcterms:modified xsi:type="dcterms:W3CDTF">2025-02-17T20:13:46Z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