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a030a3415f4364d9cd531e4cc0f8fc219aeb8f"/>
    <w:p>
      <w:pPr>
        <w:pStyle w:val="Heading3"/>
      </w:pPr>
      <w:r>
        <w:t xml:space="preserve">Прокурором Северо-Восточного округа города Москвы принято участие в совещании по вопросу подготовки МКД к эксплуатации в осенне-зимний период 2022-2023г.г.</w:t>
      </w:r>
    </w:p>
    <w:p>
      <w:pPr>
        <w:pStyle w:val="FirstParagraph"/>
      </w:pPr>
      <w:r>
        <w:t xml:space="preserve">22.08.2022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52975" cy="52197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roslavsky.mos.ru/www/Прокуратура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5219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76977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roslavsky.mos.ru/www/2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769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http://yaroslavsky.mos.ru/the-prosecutor-explains/information-of-the-prosecutor-s-office/detail/11005342.html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the-prosecutor-explains/information-of-the-prosecutor-s-office/detail/110053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yaroslavsky.mos.ru" TargetMode="External" /><Relationship Type="http://schemas.openxmlformats.org/officeDocument/2006/relationships/hyperlink" Id="rId26" Target="http://yaroslavsky.mos.ru/the-prosecutor-explains/information-of-the-prosecutor-s-office/detail/110053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2025-02-18T18:22:26Z</dcterms:created>
  <dcterms:modified xsi:type="dcterms:W3CDTF">2025-02-18T18:22:26Z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