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0b9c0a470fddf59f93901208c60cd9007c2ec"/>
    <w:p>
      <w:pPr>
        <w:pStyle w:val="Heading3"/>
      </w:pPr>
      <w:r>
        <w:t xml:space="preserve">Правительством Российской Федерации определены особенности передачи недвижимости дольщикам в текущем году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drawing>
          <wp:inline>
            <wp:extent cx="5334000" cy="39263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4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6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http://yaroslavsky.mos.ru/the-prosecutor-explains/information-of-the-prosecutor-s-office/detail/10812858.html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0812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0812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2024-04-18T09:28:01Z</dcterms:created>
  <dcterms:modified xsi:type="dcterms:W3CDTF">2024-04-18T09:28:01Z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