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d8f319583ac883daedd81bf554ea0320a513ef"/>
    <w:p>
      <w:pPr>
        <w:pStyle w:val="Heading3"/>
      </w:pPr>
      <w:r>
        <w:t xml:space="preserve">Профилактика безнадзорности и правонарушений детей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drawing>
          <wp:inline>
            <wp:extent cx="5334000" cy="50715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3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71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51413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roslavsky.mos.ru/www/33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4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http://yaroslavsky.mos.ru/the-prosecutor-explains/information-of-the-prosecutor-s-office/detail/10812835.html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the-prosecutor-explains/information-of-the-prosecutor-s-office/detail/10812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the-prosecutor-explains/information-of-the-prosecutor-s-office/detail/10812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2024-04-26T13:20:36Z</dcterms:created>
  <dcterms:modified xsi:type="dcterms:W3CDTF">2024-04-26T13:20:36Z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