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9181190b92d8df260dc87a384dc494b9739955"/>
    <w:p>
      <w:pPr>
        <w:pStyle w:val="Heading3"/>
      </w:pPr>
      <w:r>
        <w:t xml:space="preserve">С 1 марта 2022 года вступили в силу изменения, внесённые в Трудовой кодекс Российской Федерации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8274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УУ!!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27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112429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roslavsky.mos.ru/www/УУ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2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http://yaroslavsky.mos.ru/the-prosecutor-explains/information-of-the-prosecutor-s-office/detail/10812795.html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the-prosecutor-explains/information-of-the-prosecutor-s-office/detail/10812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the-prosecutor-explains/information-of-the-prosecutor-s-office/detail/10812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2024-02-07T10:57:13Z</dcterms:created>
  <dcterms:modified xsi:type="dcterms:W3CDTF">2024-02-07T10:57:13Z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