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6d0a63de38ea3c32e663ac214b4731491bc8b4"/>
    <w:p>
      <w:pPr>
        <w:pStyle w:val="Heading3"/>
      </w:pPr>
      <w:r>
        <w:t xml:space="preserve">Федеральной службой по труду и занятости представлены разъяснения о работе в ночное время, а также о порядке введения и оплаты простоя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drawing>
          <wp:inline>
            <wp:extent cx="5334000" cy="44158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Page_0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15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roslavsky.mos.ru/www/Page_0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http://yaroslavsky.mos.ru/the-prosecutor-explains/information-of-the-prosecutor-s-office/detail/10812692.html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the-prosecutor-explains/information-of-the-prosecutor-s-office/detail/10812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the-prosecutor-explains/information-of-the-prosecutor-s-office/detail/10812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2024-09-28T10:08:42Z</dcterms:created>
  <dcterms:modified xsi:type="dcterms:W3CDTF">2024-09-28T10:08:42Z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