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f009820f685db5f1edeaaa1ad9221bb6a9e72d"/>
    <w:p>
      <w:pPr>
        <w:pStyle w:val="Heading3"/>
      </w:pPr>
      <w:r>
        <w:t xml:space="preserve">Законом предусмотрен механизм обращения в доход государства средств чиновников, в отношении которых не представлены сведения о законности их получения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drawing>
          <wp:inline>
            <wp:extent cx="5334000" cy="27300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77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00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http://yaroslavsky.mos.ru/the-prosecutor-explains/information-of-the-prosecutor-s-office/detail/10812653.html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the-prosecutor-explains/information-of-the-prosecutor-s-office/detail/10812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the-prosecutor-explains/information-of-the-prosecutor-s-office/detail/10812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2024-08-07T02:51:57Z</dcterms:created>
  <dcterms:modified xsi:type="dcterms:W3CDTF">2024-08-07T02:51:57Z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