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210923ce8c4d90ddc3455d390e92b5cc821244"/>
    <w:p>
      <w:pPr>
        <w:pStyle w:val="Heading3"/>
      </w:pPr>
      <w:r>
        <w:t xml:space="preserve">Финансовый оператор по «коммуналке» в Москве скоро поменяется</w:t>
      </w:r>
    </w:p>
    <w:p>
      <w:pPr>
        <w:pStyle w:val="FirstParagraph"/>
      </w:pPr>
      <w:r>
        <w:t xml:space="preserve">27.04.2016</w:t>
      </w:r>
    </w:p>
    <w:p>
      <w:pPr>
        <w:pStyle w:val="BodyText"/>
      </w:pPr>
      <w:r>
        <w:rPr>
          <w:bCs/>
          <w:b/>
        </w:rPr>
        <w:t xml:space="preserve">Жители столицы узнали о том, что из-за реорганизации ОАО «Банк Москвы» в едином платежном документе с июня изменится информация о финансовом операторе платежей за жилищно-коммунальные услуги. С 10 мая финансовым оператором системы ЕИРЦ вместо ОАО «Банк Москвы» станет Банк ВТБ.</w:t>
      </w:r>
    </w:p>
    <w:p>
      <w:pPr>
        <w:pStyle w:val="BodyText"/>
      </w:pPr>
      <w:r>
        <w:t xml:space="preserve">Известно, что в едином платежном документе в строке «Счет по сбору платежей за ЖКУ и прочие услуги района (название района) будут указаны следующие реквизиты:</w:t>
      </w:r>
      <w:r>
        <w:br/>
      </w:r>
      <w:r>
        <w:t xml:space="preserve">наименование — филиал «Центральный» Банка ВТБ (ПАО);</w:t>
      </w:r>
    </w:p>
    <w:p>
      <w:pPr>
        <w:pStyle w:val="BodyText"/>
      </w:pPr>
      <w:r>
        <w:t xml:space="preserve">номер корреспондентского счета — 30101810145250000411;</w:t>
      </w:r>
    </w:p>
    <w:p>
      <w:pPr>
        <w:pStyle w:val="BodyText"/>
      </w:pPr>
      <w:r>
        <w:t xml:space="preserve">номер банковского идентификационного кода (БИК) — 044525411;</w:t>
      </w:r>
    </w:p>
    <w:p>
      <w:pPr>
        <w:pStyle w:val="BodyText"/>
      </w:pPr>
      <w:r>
        <w:t xml:space="preserve">идентификационный номер налогоплательщика (ИНН) — 7702070139.</w:t>
      </w:r>
    </w:p>
    <w:p>
      <w:pPr>
        <w:pStyle w:val="BodyText"/>
      </w:pPr>
      <w:r>
        <w:t xml:space="preserve">Обращаем ваше внимание, что единые платежные документы с новыми реквизитами являются подлинными и подлежат своевременной оплате.</w:t>
      </w:r>
    </w:p>
    <w:p>
      <w:pPr>
        <w:pStyle w:val="BodyText"/>
      </w:pPr>
      <w:r>
        <w:t xml:space="preserve">Будьте внимательны при получении нового единого платежного документа. По всем вопросам обращайтесь в управляющую компанию — ГБУ «Жилищник Ярославского района». Адрес: Ярославское шоссе, 120а. Телефон +7 (499) 182-99-63. Электронная почта:</w:t>
      </w:r>
      <w:r>
        <w:t xml:space="preserve"> </w:t>
      </w:r>
      <w:hyperlink r:id="rId20">
        <w:r>
          <w:rPr>
            <w:rStyle w:val="Hyperlink"/>
          </w:rPr>
          <w:t xml:space="preserve">Svao-Yar-Gbu@svao.mos.ru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http://yaroslavsky.mos.ru/presscenter/news/detail/2858065.html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yaroslavsky.mos.ru" TargetMode="External" /><Relationship Type="http://schemas.openxmlformats.org/officeDocument/2006/relationships/hyperlink" Id="rId21" Target="http://yaroslavsky.mos.ru/presscenter/news/detail/2858065.html" TargetMode="External" /><Relationship Type="http://schemas.openxmlformats.org/officeDocument/2006/relationships/hyperlink" Id="rId20" Target="mailto:Svao-Yar-Gbu@svao.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yaroslavsky.mos.ru" TargetMode="External" /><Relationship Type="http://schemas.openxmlformats.org/officeDocument/2006/relationships/hyperlink" Id="rId21" Target="http://yaroslavsky.mos.ru/presscenter/news/detail/2858065.html" TargetMode="External" /><Relationship Type="http://schemas.openxmlformats.org/officeDocument/2006/relationships/hyperlink" Id="rId20" Target="mailto:Svao-Yar-Gbu@svao.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2025-08-04T17:33:24Z</dcterms:created>
  <dcterms:modified xsi:type="dcterms:W3CDTF">2025-08-04T17:33:24Z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