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47ef9a1ed5b2a6565ef7b44121dd02cc8091b3"/>
    <w:p>
      <w:pPr>
        <w:pStyle w:val="Heading3"/>
      </w:pPr>
      <w:r>
        <w:t xml:space="preserve">Торжественное мероприятие по перезахоронению останков бойцов Великой Отечественной войны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22 июня 2015 г. управой Ярославского района организовано участие молодёжи в торжественном мероприятии по перезахоронению останков бойцов Великой Отечественной войны, поднятыми на поверхность и исследованными поисковыми отрядами на территории Тверской области, сельское поселение Погорелое Городище. </w:t>
      </w:r>
    </w:p>
    <w:p>
      <w:pPr>
        <w:pStyle w:val="BodyText"/>
      </w:pPr>
      <w:r>
        <w:t xml:space="preserve">В «Вахте памяти» приняли участие: управа Ярославского района , Совет по молодёжной политике , Совет молодых семей Района. Также в митинге приняли активное участие дети, состоящие на профилактическом учёте в КДНиЗП Ярославского района города Москвы.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a4f/dsc044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40c/dsc0448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80a/dsc0461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http://yaroslavsky.mos.ru/presscenter/news/detail/1959154.html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presscenter/news/detail/1959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presscenter/news/detail/1959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2025-03-03T01:19:17Z</dcterms:created>
  <dcterms:modified xsi:type="dcterms:W3CDTF">2025-03-03T01:19:17Z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