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166361b0994611801c5f9f8ac0aaa96c58621b"/>
    <w:p>
      <w:pPr>
        <w:pStyle w:val="Heading3"/>
      </w:pPr>
      <w:r>
        <w:t xml:space="preserve">Вниманию страхователей: Финансовое обеспечение предупредительных мер по сокращению производственного травматизма и профессиональных заболеваний работников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У работодателей Московского региона есть возможность снизить расходы на реализацию мер по сокращению производственного травматизма и профессиональных заболеваний. Сумма компенсации индивидуальна и составляет от 20 до 30% от страховых взносов, начисленных предприятиями за предшествующий год.</w:t>
      </w:r>
    </w:p>
    <w:p>
      <w:pPr>
        <w:pStyle w:val="BodyText"/>
      </w:pPr>
      <w:r>
        <w:t xml:space="preserve">Максимальный размер компенсации может быть достигнут при условии направления страхователем дополнительного объема средств на санаторно-курортное лечение работников не ранее, чем за пять лет до достижения ими возраста, дающего право на назначение страховой пенсии по старости.</w:t>
      </w:r>
    </w:p>
    <w:p>
      <w:pPr>
        <w:pStyle w:val="BodyText"/>
      </w:pPr>
      <w:r>
        <w:br/>
      </w:r>
      <w:r>
        <w:t xml:space="preserve">Финансовому обеспечению предупредительных мер в 2025 году подлежат мероприятия по сокращению производственного травматизма и профессиональных заболеваний. Перечень указанных мер по сокращению производственного травматизма и профессиональных заболеваний работников и санаторно-курортного лечения работников, занятых на работах с вредными и (или) опасными производственными факторами, утвержден Приказом Минтруда России № 347н от 11.07.2024 года (далее – Приказ №347н), вступившими в силу с 1 января текущего года.</w:t>
      </w:r>
      <w:r>
        <w:br/>
      </w:r>
      <w:r>
        <w:t xml:space="preserve">Получить финансирование на улучшение условий труда может любой страхователь по обязательному социальному страхованию от несчастных случаев на производстве и профзаболеваний, который не имеет задолженностей по уплате страховых взносов, а также непогашенных пеней и штрафов.</w:t>
      </w:r>
      <w:r>
        <w:br/>
      </w:r>
      <w:r>
        <w:t xml:space="preserve">Подать Заявление на финансовое обеспечение предупредительных мер можно до 1 августа текущего года через Единый портал государственных и муниципальных услуг (</w:t>
      </w:r>
      <w:hyperlink r:id="rId20">
        <w:r>
          <w:rPr>
            <w:rStyle w:val="Hyperlink"/>
          </w:rPr>
          <w:t xml:space="preserve">www.gosuslugi.ru</w:t>
        </w:r>
      </w:hyperlink>
      <w:r>
        <w:t xml:space="preserve">), обратится через клиентскую службу ОСФР по г. Москве и Московской области, по почте.</w:t>
      </w:r>
      <w:r>
        <w:br/>
      </w:r>
      <w:r>
        <w:t xml:space="preserve">На эти цели в текущем году планируется направить 4,8 миллиарда рублей. На 26.03.2025 в Отделение Фонда поступило 1669 заявлений от страхователей на финансовое обеспечение предупредительных мер, выделенная страхователям сумма составила более 40% от бюджета.</w:t>
      </w:r>
      <w:r>
        <w:br/>
      </w:r>
      <w:r>
        <w:t xml:space="preserve">В случае возникновения вопросов, консультацию можно получить, обратившись на электронный адрес:</w:t>
      </w:r>
      <w:r>
        <w:t xml:space="preserve"> </w:t>
      </w:r>
      <w:hyperlink r:id="rId21">
        <w:r>
          <w:rPr>
            <w:rStyle w:val="Hyperlink"/>
          </w:rPr>
          <w:t xml:space="preserve">info@77.sfr.gov.ru</w:t>
        </w:r>
      </w:hyperlink>
      <w:r>
        <w:t xml:space="preserve"> или по телефону: 8-495-650 19 17 (горячая линия для консультирования страхователей)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http://yaroslavsky.mos.ru/informatsiya-sotsialnogo-fonda-rossii/detail/12879709.html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gosuslugi.ru/" TargetMode="Externa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879709.html" TargetMode="External" /><Relationship Type="http://schemas.openxmlformats.org/officeDocument/2006/relationships/hyperlink" Id="rId21" Target="https://e.mail.ru/compose?To=info@77.sfr.gov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gosuslugi.ru/" TargetMode="Externa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879709.html" TargetMode="External" /><Relationship Type="http://schemas.openxmlformats.org/officeDocument/2006/relationships/hyperlink" Id="rId21" Target="https://e.mail.ru/compose?To=info@77.sfr.gov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2025-04-13T18:17:40Z</dcterms:created>
  <dcterms:modified xsi:type="dcterms:W3CDTF">2025-04-13T18:17:40Z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