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870f7b958482108c634efa60d084ba90b76e5e1"/>
    <w:p>
      <w:pPr>
        <w:pStyle w:val="Heading3"/>
      </w:pPr>
      <w:r>
        <w:t xml:space="preserve">С начала 2024 года Отделение СФР по Москве и Московской области оплатило пособия по временной нетрудоспособности 2,9 млн жителей региона</w:t>
      </w:r>
    </w:p>
    <w:p>
      <w:pPr>
        <w:pStyle w:val="FirstParagraph"/>
      </w:pPr>
      <w:r>
        <w:t xml:space="preserve">05.11.2024</w:t>
      </w:r>
    </w:p>
    <w:p>
      <w:pPr>
        <w:pStyle w:val="BodyText"/>
      </w:pPr>
      <w:r>
        <w:t xml:space="preserve">Согласно данным Отделения СФР по Москве и Московской области, с начала года 2,9 млн работающих жителей в регионе получили 5,9 млн пособий по временной нетрудоспособности. Сумма перечисленных средств составила 92,3 млрд рублей.</w:t>
      </w:r>
    </w:p>
    <w:p>
      <w:pPr>
        <w:pStyle w:val="BodyText"/>
      </w:pPr>
      <w:r>
        <w:t xml:space="preserve">На сегодняшний день практически все листки нетрудоспособности оформляются в электронном виде. Исключение предусмотрено для лиц:</w:t>
      </w:r>
    </w:p>
    <w:p>
      <w:pPr>
        <w:numPr>
          <w:ilvl w:val="0"/>
          <w:numId w:val="1001"/>
        </w:numPr>
        <w:pStyle w:val="Compact"/>
      </w:pPr>
      <w:r>
        <w:t xml:space="preserve">сведения о которых составляют государственную и иную охраняемую законом тайну;</w:t>
      </w:r>
    </w:p>
    <w:p>
      <w:pPr>
        <w:numPr>
          <w:ilvl w:val="0"/>
          <w:numId w:val="1002"/>
        </w:numPr>
        <w:pStyle w:val="Compact"/>
      </w:pPr>
      <w:r>
        <w:t xml:space="preserve">в отношении которых реализуются меры государственной защиты.</w:t>
      </w:r>
    </w:p>
    <w:p>
      <w:pPr>
        <w:pStyle w:val="FirstParagraph"/>
      </w:pPr>
      <w:r>
        <w:t xml:space="preserve">Среди преимуществ электронного листка нетрудоспособности — минимизация времени на оформление, исключение возможности его порчи или утери, а также случаев мошенничества.</w:t>
      </w:r>
    </w:p>
    <w:p>
      <w:pPr>
        <w:pStyle w:val="BodyText"/>
      </w:pPr>
      <w:r>
        <w:t xml:space="preserve">Для получения листка нетрудоспособности необходимо только сообщить номер СНИЛС. Оформленный больничный лист поступает из медучреждения напрямую к работодателю. Затем необходимые сведения передаются Отделение СФР по Москве и Московской области в течение трех рабочих дней с даты закрытия больничного. Денежные средства выплачиваются застрахованным не позднее 10 рабочих дней с момента получения сведений.</w:t>
      </w:r>
    </w:p>
    <w:p>
      <w:pPr>
        <w:pStyle w:val="BodyText"/>
      </w:pPr>
      <w:r>
        <w:t xml:space="preserve">Размер пособия зависит от среднего заработка за предыдущие два года и страхового стажа сотрудника. При стаже 8 и более лет он составит 100% среднего заработка, от 5 до 8 лет — 80%, менее 5 лет — 60%.</w:t>
      </w:r>
    </w:p>
    <w:p>
      <w:pPr>
        <w:pStyle w:val="BodyText"/>
      </w:pPr>
      <w:r>
        <w:t xml:space="preserve">«За первые три дня болезни работодатель самостоятельно рассчитывает и выплачивает пособие из собственных средств, а с четвертого дня это делает Отделение фонда по Москве и Московской области. Если же работник ухаживает за больным членом семьи, находится на карантине, проходит протезирование или долечивается в санатории, пособие выплачивается за счет средств Отделения Социального фонда с первого дня», — уточнил заместитель управляющего Отделением СФР по Москве и Московской области</w:t>
      </w:r>
      <w:r>
        <w:t xml:space="preserve"> </w:t>
      </w:r>
      <w:r>
        <w:rPr>
          <w:bCs/>
          <w:b/>
        </w:rPr>
        <w:t xml:space="preserve">Алексей Путин</w:t>
      </w:r>
      <w:r>
        <w:t xml:space="preserve">.</w:t>
      </w:r>
    </w:p>
    <w:p>
      <w:pPr>
        <w:pStyle w:val="BodyText"/>
      </w:pPr>
      <w:r>
        <w:t xml:space="preserve">Граждане, у которых есть подтвержденная учетная запись на портале госуслуг, получают информационные сообщения об открытии, продлении и закрытии электронных листков нетрудоспособности.</w:t>
      </w:r>
    </w:p>
    <w:p>
      <w:pPr>
        <w:pStyle w:val="BodyText"/>
      </w:pPr>
      <w:r>
        <w:rPr>
          <w:iCs/>
          <w:i/>
          <w:bCs/>
          <w:b/>
        </w:rPr>
        <w:t xml:space="preserve">Если у вас остались вопросы, вы всегда можете обратиться в единый контакт-центр по взаимодействию с гражданами по телефону — 8 (800)100-00-01 (звонок бесплатный),</w:t>
      </w:r>
      <w:r>
        <w:t xml:space="preserve"> </w:t>
      </w:r>
      <w:r>
        <w:rPr>
          <w:bCs/>
          <w:b/>
          <w:iCs/>
          <w:i/>
        </w:rPr>
        <w:t xml:space="preserve">а также по единому номеру для консультирования страхователей 8 (495) 650-19-17</w:t>
      </w:r>
      <w:r>
        <w:t xml:space="preserve"> </w:t>
      </w:r>
      <w:r>
        <w:rPr>
          <w:bCs/>
          <w:b/>
          <w:iCs/>
          <w:i/>
        </w:rPr>
        <w:t xml:space="preserve">(понедельник-четверг с 09:00 до 18:00, пятница с 09:00 до 16:45, без перерыва).</w:t>
      </w:r>
    </w:p>
    <w:p>
      <w:pPr>
        <w:pStyle w:val="BodyText"/>
      </w:pPr>
      <w:r>
        <w:t xml:space="preserve">Отделение СФР по Москве и Московской области в социальных сетях:</w:t>
      </w:r>
    </w:p>
    <w:p>
      <w:pPr>
        <w:pStyle w:val="BodyText"/>
      </w:pPr>
      <w:r>
        <w:rPr>
          <w:iCs/>
          <w:i/>
        </w:rPr>
        <w:t xml:space="preserve">ВКонтакте –</w:t>
      </w:r>
      <w:r>
        <w:t xml:space="preserve"> </w:t>
      </w:r>
      <w:hyperlink r:id="rId20">
        <w:r>
          <w:rPr>
            <w:rStyle w:val="Hyperlink"/>
            <w:iCs/>
            <w:i/>
          </w:rPr>
          <w:t xml:space="preserve">https://vk.com/sfr.moskva.i.moskovskaya.oblast</w:t>
        </w:r>
      </w:hyperlink>
      <w:r>
        <w:t xml:space="preserve">;</w:t>
      </w:r>
    </w:p>
    <w:p>
      <w:pPr>
        <w:pStyle w:val="BodyText"/>
      </w:pPr>
      <w:r>
        <w:rPr>
          <w:iCs/>
          <w:i/>
        </w:rPr>
        <w:t xml:space="preserve">Одноклассники –</w:t>
      </w:r>
      <w:r>
        <w:t xml:space="preserve"> </w:t>
      </w:r>
      <w:hyperlink r:id="rId21">
        <w:r>
          <w:rPr>
            <w:rStyle w:val="Hyperlink"/>
            <w:iCs/>
            <w:i/>
          </w:rPr>
          <w:t xml:space="preserve">https://ok.ru/sfr.msk.i.moskobl</w:t>
        </w:r>
      </w:hyperlink>
      <w:r>
        <w:t xml:space="preserve">;</w:t>
      </w:r>
    </w:p>
    <w:p>
      <w:pPr>
        <w:pStyle w:val="BodyText"/>
      </w:pPr>
      <w:r>
        <w:rPr>
          <w:iCs/>
          <w:i/>
        </w:rPr>
        <w:t xml:space="preserve">Телеграм –</w:t>
      </w:r>
      <w:r>
        <w:t xml:space="preserve"> </w:t>
      </w:r>
      <w:hyperlink r:id="rId22">
        <w:r>
          <w:rPr>
            <w:rStyle w:val="Hyperlink"/>
            <w:iCs/>
            <w:i/>
          </w:rPr>
          <w:t xml:space="preserve">https://t.me/sfr_moskva_i_moskovskayaoblast</w:t>
        </w:r>
      </w:hyperlink>
      <w:r>
        <w:t xml:space="preserve">.</w:t>
      </w:r>
    </w:p>
    <w:p>
      <w:pPr>
        <w:pStyle w:val="BodyText"/>
      </w:pPr>
      <w:r>
        <w:t xml:space="preserve">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http://yaroslavsky.mos.ru/informatsiya-sotsialnogo-fonda-rossii/detail/12644910.html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Ярославского района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4" Target="http://yaroslavsky.mos.ru" TargetMode="External" /><Relationship Type="http://schemas.openxmlformats.org/officeDocument/2006/relationships/hyperlink" Id="rId23" Target="http://yaroslavsky.mos.ru/informatsiya-sotsialnogo-fonda-rossii/detail/12644910.html" TargetMode="External" /><Relationship Type="http://schemas.openxmlformats.org/officeDocument/2006/relationships/hyperlink" Id="rId21" Target="https://ok.ru/sfr.msk.i.moskobl" TargetMode="External" /><Relationship Type="http://schemas.openxmlformats.org/officeDocument/2006/relationships/hyperlink" Id="rId22" Target="https://t.me/sfr_moskva_i_moskovskayaoblast" TargetMode="External" /><Relationship Type="http://schemas.openxmlformats.org/officeDocument/2006/relationships/hyperlink" Id="rId20" Target="https://vk.com/sfr.moskva.i.moskovskaya.oblas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yaroslavsky.mos.ru" TargetMode="External" /><Relationship Type="http://schemas.openxmlformats.org/officeDocument/2006/relationships/hyperlink" Id="rId23" Target="http://yaroslavsky.mos.ru/informatsiya-sotsialnogo-fonda-rossii/detail/12644910.html" TargetMode="External" /><Relationship Type="http://schemas.openxmlformats.org/officeDocument/2006/relationships/hyperlink" Id="rId21" Target="https://ok.ru/sfr.msk.i.moskobl" TargetMode="External" /><Relationship Type="http://schemas.openxmlformats.org/officeDocument/2006/relationships/hyperlink" Id="rId22" Target="https://t.me/sfr_moskva_i_moskovskayaoblast" TargetMode="External" /><Relationship Type="http://schemas.openxmlformats.org/officeDocument/2006/relationships/hyperlink" Id="rId20" Target="https://vk.com/sfr.moskva.i.moskovskaya.oblas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2025-01-31T22:33:36Z</dcterms:created>
  <dcterms:modified xsi:type="dcterms:W3CDTF">2025-01-31T22:33:36Z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