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2449bb25d66d9ca029484a183e2d45038f344"/>
    <w:p>
      <w:pPr>
        <w:pStyle w:val="Heading3"/>
      </w:pPr>
      <w:r>
        <w:t xml:space="preserve">Как оплачивается больничный лист при получении производственной травмы?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t xml:space="preserve">ОСФР по г. Москве и Московской области напоминает, что пособие по временной нетрудоспособности при производственной травме и профзаболевании выплачивается в размере 100% от среднего месячного заработка работника.</w:t>
      </w:r>
      <w:r>
        <w:br/>
      </w:r>
      <w:r>
        <w:t xml:space="preserve">Больничный оформляется пострадавшему, если повреждение здоровья произошло при выполнении трудовых обязанностей. Врач установит степень тяжести травмы. Документ оформляется в электронном виде и продлевается каждый раз по указанию врача.</w:t>
      </w:r>
      <w:r>
        <w:br/>
      </w:r>
      <w:r>
        <w:t xml:space="preserve">Максимальный размер пособия за полный календарный месяц –</w:t>
      </w:r>
      <w:r>
        <w:t xml:space="preserve"> </w:t>
      </w:r>
      <w:r>
        <w:rPr>
          <w:bCs/>
          <w:b/>
        </w:rPr>
        <w:t xml:space="preserve">435 136,16</w:t>
      </w:r>
      <w:r>
        <w:t xml:space="preserve"> </w:t>
      </w:r>
      <w:r>
        <w:t xml:space="preserve">рублей.</w:t>
      </w:r>
      <w:r>
        <w:br/>
      </w:r>
      <w:r>
        <w:t xml:space="preserve">По факту трудового инцидента обязательно проводится расследование и составляется акт о несчастном случае на производстве.</w:t>
      </w:r>
      <w:r>
        <w:br/>
      </w:r>
      <w:r>
        <w:t xml:space="preserve">В нем описаны:</w:t>
      </w:r>
      <w:r>
        <w:br/>
      </w:r>
      <w:r>
        <w:t xml:space="preserve">- Виды травм;</w:t>
      </w:r>
      <w:r>
        <w:br/>
      </w:r>
      <w:r>
        <w:t xml:space="preserve">- Причины;</w:t>
      </w:r>
      <w:r>
        <w:br/>
      </w:r>
      <w:r>
        <w:t xml:space="preserve">- Точное время и продолжительность инцидента;</w:t>
      </w:r>
      <w:r>
        <w:br/>
      </w:r>
      <w:r>
        <w:t xml:space="preserve">- А также вероятность вины самого работника, которая может повлиять на размер больничных выплат.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http://yaroslavsky.mos.ru/informatsiya-sotsialnogo-fonda-rossii/detail/12624491.html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24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24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2025-02-01T03:35:54Z</dcterms:created>
  <dcterms:modified xsi:type="dcterms:W3CDTF">2025-02-01T03:35:54Z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