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b68d2fdfc02c09be373e8f1d672c87235861"/>
    <w:p>
      <w:pPr>
        <w:pStyle w:val="Heading3"/>
      </w:pPr>
      <w:r>
        <w:t xml:space="preserve">Можно ли получить маткапитал на третьего ребенка?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Да, если право на маткапитал в связи с рождением первого и второго ребенка ранее не возникало.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Отдельной выплаты на третьего ребенка нет, но бывают ситуации, когда капитал получают именно с его появлением.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Например: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833 024,74 руб. — третий ребенок появился в семье с 01.01.2020, а первый и второй — до 2007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630 380,78 руб. — третий малыш появился в семье с 01.01.2007 по 31.12.2019, а первые два ребенка — до 2007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630 380,78 руб. — тройня родилась с 01.01.2007 по 31.12.2019.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833 024,74 руб. — тройня родилась с 01.01.2020.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630 380,78₽ на первого ребенка и 202 643,96 руб. — выплата после рождения последующих детей, если первенец появился в семье с 01.01.2020, и позднее родилась двойня или тройня, или были усыновлены двое детей или больше.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Получатель сертификата и дети должны иметь гражданство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http://yaroslavsky.mos.ru/informatsiya-sotsialnogo-fonda-rossii/detail/12614584.html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14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14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2025-02-01T00:53:53Z</dcterms:created>
  <dcterms:modified xsi:type="dcterms:W3CDTF">2025-02-01T00:53:53Z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