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70cdaa63810437629b696c74273b9bd45e864b"/>
    <w:p>
      <w:pPr>
        <w:pStyle w:val="Heading3"/>
      </w:pPr>
      <w:r>
        <w:t xml:space="preserve">Гражданам Москвы и Московской области, получившим тяжелые производственные травмы, выданы автомобили марки «Лада Гранта»</w:t>
      </w:r>
    </w:p>
    <w:p>
      <w:pPr>
        <w:pStyle w:val="FirstParagraph"/>
      </w:pPr>
      <w:r>
        <w:t xml:space="preserve">11.09.2024</w:t>
      </w:r>
    </w:p>
    <w:p>
      <w:pPr>
        <w:pStyle w:val="BodyText"/>
      </w:pPr>
      <w:r>
        <w:t xml:space="preserve">Ключи от новых автомобилей получили жители Москвы и Пензенской области, пострадавшие на производстве. Данная мера поддержки является частью медицинской, социальной и профессиональной реабилитации. Автотранспорт приобретен за счет средств обязательного социального страхования от несчастных случаев на производстве.</w:t>
      </w:r>
    </w:p>
    <w:p>
      <w:pPr>
        <w:pStyle w:val="BodyText"/>
      </w:pPr>
      <w:r>
        <w:t xml:space="preserve">Автомобили как техническое средство реабилитации выдаются в соответствии с программой реабилитации пострадавшего, которую разрабатывает бюро медико-социальной экспертизы.</w:t>
      </w:r>
    </w:p>
    <w:p>
      <w:pPr>
        <w:pStyle w:val="BodyText"/>
      </w:pPr>
      <w:r>
        <w:rPr>
          <w:iCs/>
          <w:i/>
        </w:rPr>
        <w:t xml:space="preserve">«С начала года</w:t>
      </w:r>
      <w:r>
        <w:t xml:space="preserve"> </w:t>
      </w:r>
      <w:r>
        <w:t xml:space="preserve">Отделение Фонда пенсионного и социального страхования Российской Федерации по г. Москве и Московской области выдало семь адаптированных транспортных средств. Они оборудованы устройством ручного управления и оснащены с учетом индивидуальных особенностей, что позволяет водителю с ограниченными возможностями здоровья чувствовать себя за рулем уверенно и комфортно, – говорит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Путин.</w:t>
      </w:r>
      <w:r>
        <w:t xml:space="preserve"> </w:t>
      </w:r>
      <w:r>
        <w:t xml:space="preserve">– В разные годы граждане получили травмы на производстве. На момент наступления несчастного случая они были официально трудоустроены, что и стало гарантией их защищенности. Благодаря автомобилям их получатели продолжают вести активный образ жизни».</w:t>
      </w:r>
    </w:p>
    <w:p>
      <w:pPr>
        <w:pStyle w:val="BodyText"/>
      </w:pPr>
      <w:r>
        <w:t xml:space="preserve">При наличии показаний согласно программе реабилитации пострадавшего и отсутствии противопоказаний, замена автомобилей производится каждые семь лет. Ранее выданные автомобили остаются у хозяев, так как машины выдаются в собственность. Получателям также предусмотрена ежеквартальная выплата денежной компенсации на приобретение горюче-смазочных материалов и текущий ремонт.</w:t>
      </w:r>
    </w:p>
    <w:p>
      <w:pPr>
        <w:pStyle w:val="BodyText"/>
      </w:pPr>
      <w:r>
        <w:rPr>
          <w:iCs/>
          <w:i/>
          <w:bCs/>
          <w:b/>
        </w:rPr>
        <w:t xml:space="preserve">По имеющимся вопросам вы можете обратиться к специалистам Отделения СФР по Москве и Московской области по единому номеру для консультирования страхователей 8 (495) 650-19-17, а также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http://yaroslavsky.mos.ru/informatsiya-sotsialnogo-fonda-rossii/detail/12560885.html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60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60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2025-07-21T03:50:53Z</dcterms:created>
  <dcterms:modified xsi:type="dcterms:W3CDTF">2025-07-21T03:50:53Z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