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9762fb1eb0c1c1a7fc644468f8216fc872b1"/>
    <w:p>
      <w:pPr>
        <w:pStyle w:val="Heading3"/>
      </w:pPr>
      <w:r>
        <w:t xml:space="preserve">Отделение СФР по Москве и Московской области проактивно открыло 101,5 тыс. СНИЛС новорожденным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С начала 2024 года в столице и области в беззаявительном порядке СНИЛС получили 101,5 тыс. малышей, а в 2023-м — порядка 190 тыс. Номер лицевого счета необходим для оформления полиса обязательного медицинского страхования (ОМС) и прикрепления к поликлинике, для получения материнского капитала, оформления социальных выплат, формирования пенсии и пр.</w:t>
      </w:r>
    </w:p>
    <w:p>
      <w:pPr>
        <w:pStyle w:val="BodyText"/>
      </w:pPr>
      <w:r>
        <w:t xml:space="preserve">«Процесс оформления лицевого счета проходит в проактивном режиме с 2020 года. После появления в информационной системе Отделения фонда сведений о рождении ребенка, поступивших из реестра ЗАГС, номер индивидуального лицевого счета оформляется и направляется в личный кабинет мамы на портале госуслуг. То есть родителям обращаться в Отделение СФР по Москве и Московской области с документами не нужно», — отметил заместитель управляющего региональным Отделением СФР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Проактивное оформление СНИЛС возможно при наличии подтвержденной учетной записи на портале госуслуг. Зарегистрироваться будущей маме рекомендуется заранее, то есть до рождения ребенка.</w:t>
      </w:r>
    </w:p>
    <w:p>
      <w:pPr>
        <w:pStyle w:val="BodyText"/>
      </w:pPr>
      <w:r>
        <w:t xml:space="preserve">Если же подтвержденной учетной записи нет, то для получения СНИЛС можно обратиться в любую клиентскую службу Отделения СФР по Москве и Московской области с паспортом и свидетельством о рождении ребенка.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Социального фонда по Москве и Московской области, позвонив в единый контакт-центр взаимодействия с гражданами по тел.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http://yaroslavsky.mos.ru/informatsiya-sotsialnogo-fonda-rossii/detail/12522070.html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2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2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2024-08-16T10:00:34Z</dcterms:created>
  <dcterms:modified xsi:type="dcterms:W3CDTF">2024-08-16T10:00:34Z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