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4c65d26a065f3932156d2c9a738f0e6730731"/>
    <w:p>
      <w:pPr>
        <w:pStyle w:val="Heading3"/>
      </w:pPr>
      <w:r>
        <w:t xml:space="preserve">А вы уже решили, в какой форме хотите получать набор социальных услуг (НСУ)?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Граждане, имеющие право на НСУ, могут до 1 октября текущего года подать заявление через личный кабинет на портале госуслуг или обратиться в любую удобную клиентскую службу Отделения СФР по г. Москве и Московской области.</w:t>
      </w:r>
      <w:r>
        <w:br/>
      </w:r>
      <w:r>
        <w:t xml:space="preserve">Данное заявление будет действовать с 1 января следующего года до тех пор, пока получатель не изменит свой выбор.</w:t>
      </w:r>
      <w:r>
        <w:br/>
      </w:r>
      <w:r>
        <w:t xml:space="preserve">НСУ включает:</w:t>
      </w:r>
      <w:r>
        <w:br/>
      </w:r>
      <w:r>
        <w:t xml:space="preserve">- лекарственные препараты для медицинского применения по рецептам, медицинские изделия по рецептам, специализированные продукты лечебного питания для детей с инвалидностью;</w:t>
      </w:r>
      <w:r>
        <w:br/>
      </w:r>
      <w:r>
        <w:t xml:space="preserve">- путевки на санаторно-курортное лечение для профилактики основных заболеваний;</w:t>
      </w:r>
      <w:r>
        <w:br/>
      </w:r>
      <w:r>
        <w:t xml:space="preserve">- бесплатный проезд на пригородном железнодорожном транспорте, а также на междугородном транспорте к месту лечения и обратно.</w:t>
      </w:r>
      <w:r>
        <w:br/>
      </w:r>
      <w:r>
        <w:t xml:space="preserve">В Московском регионе наиболее востребованной мерой поддержки из НСУ является проезд на пригородных электричках. Сегодня им пользуются около 1 млн человек. Полным пакетом НСУ пользуется около 300 тыс. граждан.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http://yaroslavsky.mos.ru/informatsiya-sotsialnogo-fonda-rossii/detail/12486815.html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86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86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2025-01-31T23:25:57Z</dcterms:created>
  <dcterms:modified xsi:type="dcterms:W3CDTF">2025-01-31T23:25:57Z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