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90616baeee6c20c44b585bf263c18dff2ef08d"/>
    <w:p>
      <w:pPr>
        <w:pStyle w:val="Heading3"/>
      </w:pPr>
      <w:r>
        <w:t xml:space="preserve">Проект Социального фонда России получил международное признание</w:t>
      </w:r>
    </w:p>
    <w:p>
      <w:pPr>
        <w:pStyle w:val="FirstParagraph"/>
      </w:pPr>
      <w:r>
        <w:t xml:space="preserve">08.07.2024</w:t>
      </w:r>
    </w:p>
    <w:p>
      <w:pPr>
        <w:pStyle w:val="BodyText"/>
      </w:pPr>
      <w:r>
        <w:t xml:space="preserve">Международная организация социального обеспечения (</w:t>
      </w:r>
      <w:hyperlink r:id="rId20">
        <w:r>
          <w:rPr>
            <w:rStyle w:val="Hyperlink"/>
          </w:rPr>
          <w:t xml:space="preserve">МАСО</w:t>
        </w:r>
      </w:hyperlink>
      <w:r>
        <w:t xml:space="preserve">) наградила Социальный фонд России почетной грамотой за разработку и реализацию</w:t>
      </w:r>
      <w:r>
        <w:t xml:space="preserve"> </w:t>
      </w:r>
      <w:hyperlink r:id="rId21">
        <w:r>
          <w:rPr>
            <w:rStyle w:val="Hyperlink"/>
          </w:rPr>
          <w:t xml:space="preserve">электронных сертификатов</w:t>
        </w:r>
      </w:hyperlink>
      <w:r>
        <w:t xml:space="preserve"> </w:t>
      </w:r>
      <w:r>
        <w:t xml:space="preserve">на приобретение технических средств реабилитации. Присуждение награды состоялось в апреле этого года на конкурсе передовых европейских практик в социальной сфере. Всего на него поступило 119 заявок различных организаций и ведомств из 26 стран.</w:t>
      </w:r>
    </w:p>
    <w:p>
      <w:pPr>
        <w:pStyle w:val="BodyText"/>
      </w:pPr>
      <w:r>
        <w:t xml:space="preserve">Социальный фонд начал внедрять</w:t>
      </w:r>
      <w:r>
        <w:t xml:space="preserve"> </w:t>
      </w:r>
      <w:hyperlink r:id="rId22">
        <w:r>
          <w:rPr>
            <w:rStyle w:val="Hyperlink"/>
          </w:rPr>
          <w:t xml:space="preserve">электронный сертификат</w:t>
        </w:r>
      </w:hyperlink>
      <w:r>
        <w:t xml:space="preserve"> </w:t>
      </w:r>
      <w:r>
        <w:t xml:space="preserve">осенью 2021 года как наиболее удобный и быстрый способ обеспечения людей с инвалидностью средствами реабилитации. Сертификат представляет собой цифровую запись, где указаны предписанные человеку изделия, их характеристики и выделенная сумма на покупку. Сертификат привязан к банковской карте «Мир».</w:t>
      </w:r>
    </w:p>
    <w:p>
      <w:pPr>
        <w:pStyle w:val="BodyText"/>
      </w:pPr>
      <w:r>
        <w:t xml:space="preserve">Удобство сертификата заключается в том, что его можно использовать как в онлайн-магазинах, так и при личном посещении специализированных точек продаж и производителей. Электронный сертификат также позволяет быстрее удовлетворить запрос на средство реабилитации. В то время как закупка изделий по государственному контракту может длиться до двух месяцев, срок ожидания при выборе сертификата составляет не больше 10 дней. Это также быстрее, чем получение компенсации за самостоятельно приобретенное изделие, что в отдельных случаях занимает до 20 дней. При этом у человека есть возможность выбрать поставщика и изделие.</w:t>
      </w:r>
    </w:p>
    <w:p>
      <w:pPr>
        <w:pStyle w:val="BodyText"/>
      </w:pPr>
      <w:r>
        <w:t xml:space="preserve">Ранее наградами МАСО отмечались проекты фонда по</w:t>
      </w:r>
      <w:r>
        <w:t xml:space="preserve"> </w:t>
      </w:r>
      <w:hyperlink r:id="rId23">
        <w:r>
          <w:rPr>
            <w:rStyle w:val="Hyperlink"/>
          </w:rPr>
          <w:t xml:space="preserve">актуарной деятельности</w:t>
        </w:r>
      </w:hyperlink>
      <w:r>
        <w:t xml:space="preserve">, переходу на</w:t>
      </w:r>
      <w:r>
        <w:t xml:space="preserve"> </w:t>
      </w:r>
      <w:hyperlink r:id="rId24">
        <w:r>
          <w:rPr>
            <w:rStyle w:val="Hyperlink"/>
          </w:rPr>
          <w:t xml:space="preserve">электронные трудовые книжки</w:t>
        </w:r>
      </w:hyperlink>
      <w:r>
        <w:t xml:space="preserve"> </w:t>
      </w:r>
      <w:r>
        <w:t xml:space="preserve">и</w:t>
      </w:r>
      <w:r>
        <w:t xml:space="preserve"> </w:t>
      </w:r>
      <w:hyperlink r:id="rId25">
        <w:r>
          <w:rPr>
            <w:rStyle w:val="Hyperlink"/>
          </w:rPr>
          <w:t xml:space="preserve">оформлению пенсий онлайн</w:t>
        </w:r>
      </w:hyperlink>
      <w:r>
        <w:t xml:space="preserve">. Конкурс передовых практик МАСО проводится с 2008 года, чтобы выделять лучший опыт ведущих национальных ведомств и стран в реализации социальной политики. Награда присуждается международным жюри, а победившие проекты пополняют реестр</w:t>
      </w:r>
      <w:r>
        <w:t xml:space="preserve"> </w:t>
      </w:r>
      <w:hyperlink r:id="rId26">
        <w:r>
          <w:rPr>
            <w:rStyle w:val="Hyperlink"/>
          </w:rPr>
          <w:t xml:space="preserve">передовых практик</w:t>
        </w:r>
      </w:hyperlink>
      <w:r>
        <w:t xml:space="preserve"> </w:t>
      </w:r>
      <w:r>
        <w:t xml:space="preserve">и инновационных подходов в решении социальных вопросов.</w:t>
      </w:r>
    </w:p>
    <w:p>
      <w:pPr>
        <w:pStyle w:val="BodyText"/>
      </w:pPr>
      <w:r>
        <w:br/>
      </w:r>
    </w:p>
    <w:p>
      <w:pPr>
        <w:pStyle w:val="BodyText"/>
      </w:pPr>
      <w:r>
        <w:t xml:space="preserve">Адрес страницы:</w:t>
      </w:r>
      <w:r>
        <w:t xml:space="preserve"> </w:t>
      </w:r>
      <w:hyperlink r:id="rId27">
        <w:r>
          <w:rPr>
            <w:rStyle w:val="Hyperlink"/>
          </w:rPr>
          <w:t xml:space="preserve">http://yaroslavsky.mos.ru/informatsiya-sotsialnogo-fonda-rossii/detail/12467804.html</w:t>
        </w:r>
      </w:hyperlink>
    </w:p>
    <w:p>
      <w:pPr>
        <w:pStyle w:val="BodyText"/>
      </w:pPr>
      <w:hyperlink r:id="rId28">
        <w:r>
          <w:rPr>
            <w:rStyle w:val="Hyperlink"/>
          </w:rPr>
          <w:t xml:space="preserve">Управа Ярославского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www.issa.int/databases/gp" TargetMode="External" /><Relationship Type="http://schemas.openxmlformats.org/officeDocument/2006/relationships/hyperlink" Id="rId28" Target="http://yaroslavsky.mos.ru" TargetMode="External" /><Relationship Type="http://schemas.openxmlformats.org/officeDocument/2006/relationships/hyperlink" Id="rId27" Target="http://yaroslavsky.mos.ru/informatsiya-sotsialnogo-fonda-rossii/detail/12467804.html" TargetMode="External" /><Relationship Type="http://schemas.openxmlformats.org/officeDocument/2006/relationships/hyperlink" Id="rId22" Target="https://sfr.gov.ru/grazhdanam/invalidam/tsr/electronic_tsr" TargetMode="External" /><Relationship Type="http://schemas.openxmlformats.org/officeDocument/2006/relationships/hyperlink" Id="rId20" Target="https://www.issa.int/about/the-issa" TargetMode="External" /><Relationship Type="http://schemas.openxmlformats.org/officeDocument/2006/relationships/hyperlink" Id="rId25" Target="https://www.issa.int/gp/173566" TargetMode="External" /><Relationship Type="http://schemas.openxmlformats.org/officeDocument/2006/relationships/hyperlink" Id="rId23" Target="https://www.issa.int/gp/173567" TargetMode="External" /><Relationship Type="http://schemas.openxmlformats.org/officeDocument/2006/relationships/hyperlink" Id="rId24" Target="https://www.issa.int/gp/218675" TargetMode="External" /><Relationship Type="http://schemas.openxmlformats.org/officeDocument/2006/relationships/hyperlink" Id="rId21" Target="https://www.issa.int/gp/250634" TargetMode="External" /></Relationships>
</file>

<file path=word/_rels/footnotes.xml.rels><?xml version="1.0" encoding="UTF-8"?><Relationships xmlns="http://schemas.openxmlformats.org/package/2006/relationships"><Relationship Type="http://schemas.openxmlformats.org/officeDocument/2006/relationships/hyperlink" Id="rId26" Target="http://www.issa.int/databases/gp" TargetMode="External" /><Relationship Type="http://schemas.openxmlformats.org/officeDocument/2006/relationships/hyperlink" Id="rId28" Target="http://yaroslavsky.mos.ru" TargetMode="External" /><Relationship Type="http://schemas.openxmlformats.org/officeDocument/2006/relationships/hyperlink" Id="rId27" Target="http://yaroslavsky.mos.ru/informatsiya-sotsialnogo-fonda-rossii/detail/12467804.html" TargetMode="External" /><Relationship Type="http://schemas.openxmlformats.org/officeDocument/2006/relationships/hyperlink" Id="rId22" Target="https://sfr.gov.ru/grazhdanam/invalidam/tsr/electronic_tsr" TargetMode="External" /><Relationship Type="http://schemas.openxmlformats.org/officeDocument/2006/relationships/hyperlink" Id="rId20" Target="https://www.issa.int/about/the-issa" TargetMode="External" /><Relationship Type="http://schemas.openxmlformats.org/officeDocument/2006/relationships/hyperlink" Id="rId25" Target="https://www.issa.int/gp/173566" TargetMode="External" /><Relationship Type="http://schemas.openxmlformats.org/officeDocument/2006/relationships/hyperlink" Id="rId23" Target="https://www.issa.int/gp/173567" TargetMode="External" /><Relationship Type="http://schemas.openxmlformats.org/officeDocument/2006/relationships/hyperlink" Id="rId24" Target="https://www.issa.int/gp/218675" TargetMode="External" /><Relationship Type="http://schemas.openxmlformats.org/officeDocument/2006/relationships/hyperlink" Id="rId21" Target="https://www.issa.int/gp/2506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2025-02-13T06:18:36Z</dcterms:created>
  <dcterms:modified xsi:type="dcterms:W3CDTF">2025-02-13T06:18:36Z</dcterms:modified>
</cp:coreProperties>
</file>

<file path=docProps/custom.xml><?xml version="1.0" encoding="utf-8"?>
<Properties xmlns="http://schemas.openxmlformats.org/officeDocument/2006/custom-properties" xmlns:vt="http://schemas.openxmlformats.org/officeDocument/2006/docPropsVTypes"/>
</file>