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82ebdc374139e5d673ac3a211d115dafe9ce2"/>
    <w:p>
      <w:pPr>
        <w:pStyle w:val="Heading3"/>
      </w:pPr>
      <w:r>
        <w:t xml:space="preserve">В семье родился малыш. Изменится ли сумма единого пособия, которое семья получает на старшего ребенка?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Филиал № 6 Отделения СФР по г. Москве и Московской области разъясняет.</w:t>
      </w:r>
    </w:p>
    <w:p>
      <w:pPr>
        <w:pStyle w:val="BodyText"/>
      </w:pPr>
      <w:r>
        <w:t xml:space="preserve">Нет, единое пособие назначается на 12 месяцев и выплачивается без изменений до окончания этого срока.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Состав семьи учитывается на момент подачи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младшего ребенка заявление можно подать в любой момент после его рождения — как во время, так и после окончания выплат на старшего.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Московской области заявление можно подать как в электронном виде на портале госуслуг, так и в клиентской службе регионального ОСФР по месту жительства (в Москве — на портале mos.ru или в МФЦ).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ВАЖНО: в соответствии с законодательством единое пособие в столице назначается органами социальной защиты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http://yaroslavsky.mos.ru/informatsiya-sotsialnogo-fonda-rossii/detail/12467789.html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67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67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2025-02-08T21:33:44Z</dcterms:created>
  <dcterms:modified xsi:type="dcterms:W3CDTF">2025-02-08T21:33:44Z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