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c17670caa9b0901743d4c44f0a35629ed196a"/>
    <w:p>
      <w:pPr>
        <w:pStyle w:val="Heading3"/>
      </w:pPr>
      <w:r>
        <w:t xml:space="preserve">Одна из целей соцподдежки семей с детьми — обеспечение их будущего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t xml:space="preserve">Средства материнского капитала можно направить на высшее образование детей, которым на дату начала обучения не больше 25 лет. При этом ребенку, с рождением которого выдан сертификат, должно быть не менее 3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сайте СФР можно ознакомиться с актуальным списком учебных заведений, с которыми у Отделения СФР по г. Москве и Московской области заключены соглашения (</w:t>
      </w:r>
      <w:hyperlink r:id="rId20">
        <w:r>
          <w:rPr>
            <w:rStyle w:val="Hyperlink"/>
          </w:rPr>
          <w:t xml:space="preserve">https://sfr.gov.ru/branches/moscow/info/~0/7270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 можете использовать как всю сумму капитала, так и его часть.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с помощью сертификата можно оплатить проживание ребенка в студенческом общежитии.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Подать заявление о распоряжении материнским капиталом можно удобным способом: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онлайн на портале госуслуг;</w:t>
      </w:r>
    </w:p>
    <w:p>
      <w:pPr>
        <w:pStyle w:val="BodyText"/>
      </w:pPr>
      <w:r>
        <w:t xml:space="preserve">• в клиентской службе Отделения СФР по г. Москве и Московской области;</w:t>
      </w:r>
    </w:p>
    <w:p>
      <w:pPr>
        <w:pStyle w:val="BodyText"/>
      </w:pPr>
      <w:r>
        <w:t xml:space="preserve">• в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http://yaroslavsky.mos.ru/informatsiya-sotsialnogo-fonda-rossii/detail/12459413.html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459413.html" TargetMode="External" /><Relationship Type="http://schemas.openxmlformats.org/officeDocument/2006/relationships/hyperlink" Id="rId20" Target="https://sfr.gov.ru/branches/moscow/info/~0/72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459413.html" TargetMode="External" /><Relationship Type="http://schemas.openxmlformats.org/officeDocument/2006/relationships/hyperlink" Id="rId20" Target="https://sfr.gov.ru/branches/moscow/info/~0/72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2025-02-01T00:09:27Z</dcterms:created>
  <dcterms:modified xsi:type="dcterms:W3CDTF">2025-02-01T00:09:27Z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