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e10fb3ff73f1b515c49b6eb5a3059c815f8df"/>
    <w:p>
      <w:pPr>
        <w:pStyle w:val="Heading3"/>
      </w:pPr>
      <w:r>
        <w:t xml:space="preserve">Как продать жилье, приобретенное с помощью материнского капитала?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При продаже жилья, приобретенного с помощью средств материнского капитала, необходимо соблюдение нескольких условий:</w:t>
      </w:r>
    </w:p>
    <w:p>
      <w:pPr>
        <w:pStyle w:val="BodyText"/>
      </w:pPr>
      <w:r>
        <w:br/>
      </w:r>
      <w:r>
        <w:t xml:space="preserve">1. Продаваемое жилье должно быть оформлено в долевую собственность всех членов семьи.</w:t>
      </w:r>
      <w:r>
        <w:br/>
      </w:r>
      <w:r>
        <w:t xml:space="preserve">2. Если часть недвижимости принадлежит несовершеннолетнему, для ее продажи потребуется разрешение органа опеки.</w:t>
      </w:r>
      <w:r>
        <w:br/>
      </w:r>
      <w:r>
        <w:t xml:space="preserve">3. В новом жилье необходимо будет выделить доли детям не меньше, чем в продаваемом.</w:t>
      </w:r>
      <w:r>
        <w:br/>
      </w:r>
      <w:r>
        <w:t xml:space="preserve">4. Также по согласованию с опекой можно положить средства от продажи доли, принадлежащей ребенку, на его счет в банке.</w:t>
      </w:r>
      <w:r>
        <w:br/>
      </w:r>
      <w:r>
        <w:t xml:space="preserve">5. Если объект недвижимости находится в ипотеке, необходимо уведомить банк о продаже.</w:t>
      </w:r>
      <w:r>
        <w:br/>
      </w:r>
      <w:r>
        <w:t xml:space="preserve">6. Эти правила действуют при полной и частичной оплате стоимости продаваемого жилья средствами господдержки.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http://yaroslavsky.mos.ru/informatsiya-sotsialnogo-fonda-rossii/detail/12377908.html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77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77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2025-02-01T17:51:19Z</dcterms:created>
  <dcterms:modified xsi:type="dcterms:W3CDTF">2025-02-01T17:51:19Z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