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4442cb8ebf052e496977ec0e39712d6f19a38"/>
    <w:p>
      <w:pPr>
        <w:pStyle w:val="Heading3"/>
      </w:pPr>
      <w:r>
        <w:t xml:space="preserve">Социальный фонд назначил свыше 117 тысяч выплат из материнского капитала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Социальный фонд с начала 2024 года одобрил 117,3 тыс. заявлений семей о ежемесячной выплате из материнского капитала на общую сумму более 19,2 млрд рублей. Выплату можно получить на каждого ребенка до 3 лет, если средний доход семьи не превышает двух прожиточных минимумов. Имущественная обеспеченность родителей при этом не учитываются.</w:t>
      </w:r>
    </w:p>
    <w:p>
      <w:pPr>
        <w:pStyle w:val="BodyText"/>
      </w:pPr>
      <w:r>
        <w:t xml:space="preserve">Размер выплаты из материнского капитала равен прожиточному минимуму ребенка в регионе на момент подачи заявления. В среднем по России сегодня это около 15 тыс. рублей в месяц. При изменении величины прожиточного минимума в регионе ежемесячная выплата пересчитывается в беззаявительном порядке.</w:t>
      </w:r>
    </w:p>
    <w:p>
      <w:pPr>
        <w:pStyle w:val="BodyText"/>
      </w:pPr>
      <w:r>
        <w:t xml:space="preserve">Материнский капитал выплачивается семьям с детьми с 2007 года. После индексации 1 февраля 2024-го максимальная сумма капитала выросла до 833 тыс. рублей. Сумма капитала на первого ребенка увеличилась до 630,4 тыс. рублей. Родителям, уже получившим капитал на первенца, при рождении второго ребенка положена доплата в размере 202,6 тыс.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http://yaroslavsky.mos.ru/informatsiya-sotsialnogo-fonda-rossii/detail/12327448.html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2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2025-04-27T00:31:01Z</dcterms:created>
  <dcterms:modified xsi:type="dcterms:W3CDTF">2025-04-27T00:31:01Z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