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3032aeffeddf74f2f8545cf86e9018922207a6"/>
    <w:p>
      <w:pPr>
        <w:pStyle w:val="Heading3"/>
      </w:pPr>
      <w:r>
        <w:t xml:space="preserve">Филиал №6 Отделения Фонда пенсионного и социального страхования Российской Федерации по г. Москве и Московской области информирует о переезде с 30 марта 2024 г. клиентской службы «Бутырский, Марфино».</w:t>
      </w:r>
    </w:p>
    <w:p>
      <w:pPr>
        <w:pStyle w:val="FirstParagraph"/>
      </w:pPr>
      <w:r>
        <w:t xml:space="preserve">19.03.2024</w:t>
      </w:r>
    </w:p>
    <w:p>
      <w:pPr>
        <w:pStyle w:val="BodyText"/>
      </w:pPr>
      <w:r>
        <w:drawing>
          <wp:inline>
            <wp:extent cx="5334000" cy="754306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roslavsky.mos.ru/www/Объявление-о-переезде-Бутырский_-Марфино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30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http://yaroslavsky.mos.ru/informatsiya-sotsialnogo-fonda-rossii/detail/12252940.html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informatsiya-sotsialnogo-fonda-rossii/detail/122529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informatsiya-sotsialnogo-fonda-rossii/detail/122529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2025-02-23T06:24:01Z</dcterms:created>
  <dcterms:modified xsi:type="dcterms:W3CDTF">2025-02-23T06:24:01Z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