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8fa0ea4f91dd21dfba8f9306f875f809c5bd"/>
    <w:p>
      <w:pPr>
        <w:pStyle w:val="Heading3"/>
      </w:pPr>
      <w:r>
        <w:t xml:space="preserve">О мерах социальной поддержки граждан с ограниченными возможностями по зрению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rPr>
          <w:iCs/>
          <w:i/>
        </w:rPr>
        <w:t xml:space="preserve">С 15 октября – Международного дня белой трости и по 13 ноября – Международный день слепых – в России проходит Месячник белой трости.</w:t>
      </w:r>
    </w:p>
    <w:p>
      <w:pPr>
        <w:pStyle w:val="BodyText"/>
      </w:pPr>
      <w:r>
        <w:t xml:space="preserve">ОСФР по г. Москве и Московской области оказывает комплексную поддержку слабовидящим жителям региона, в которую входит назначение пенсий и социальных выплат, обеспечение техническими средствами реабилитации.</w:t>
      </w:r>
    </w:p>
    <w:p>
      <w:pPr>
        <w:pStyle w:val="BodyText"/>
      </w:pPr>
      <w:r>
        <w:t xml:space="preserve">С прошлого года страховая и социальная пенсии по инвалидности назначаются в проактивном режиме, то есть без обращения в клиентскую службу Социального фонда с соответствующими заявлениями. Решение о назначении пенсии принимается на основании данных из Федерального реестра инвалидов.</w:t>
      </w:r>
    </w:p>
    <w:p>
      <w:pPr>
        <w:pStyle w:val="BodyText"/>
      </w:pPr>
      <w:r>
        <w:t xml:space="preserve">Напоминаем, что инвалиды по зрению I группы имеют право на установление досрочной страховой пенсии по старости при выполнении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наличие страхового стажа не менее 15 лет для мужчин и 10 лет для женщин;</w:t>
      </w:r>
    </w:p>
    <w:p>
      <w:pPr>
        <w:numPr>
          <w:ilvl w:val="0"/>
          <w:numId w:val="1002"/>
        </w:numPr>
        <w:pStyle w:val="Compact"/>
      </w:pPr>
      <w:r>
        <w:t xml:space="preserve">наличие величины индивидуального пенсионного коэффициента в размере не менее 30 (с учетом переходных положений);</w:t>
      </w:r>
    </w:p>
    <w:p>
      <w:pPr>
        <w:numPr>
          <w:ilvl w:val="0"/>
          <w:numId w:val="1003"/>
        </w:numPr>
        <w:pStyle w:val="Compact"/>
      </w:pPr>
      <w:r>
        <w:t xml:space="preserve">достижение возраста 50 лет (мужчины), 40 лет (женщины).</w:t>
      </w:r>
    </w:p>
    <w:p>
      <w:pPr>
        <w:numPr>
          <w:ilvl w:val="0"/>
          <w:numId w:val="1004"/>
        </w:numPr>
        <w:pStyle w:val="Compact"/>
      </w:pPr>
      <w:r>
        <w:t xml:space="preserve">для I группы – 14 306,73 руб.;</w:t>
      </w:r>
    </w:p>
    <w:p>
      <w:pPr>
        <w:numPr>
          <w:ilvl w:val="0"/>
          <w:numId w:val="1005"/>
        </w:numPr>
        <w:pStyle w:val="Compact"/>
      </w:pPr>
      <w:r>
        <w:t xml:space="preserve">для II группы – 7153,33 руб.;</w:t>
      </w:r>
    </w:p>
    <w:p>
      <w:pPr>
        <w:numPr>
          <w:ilvl w:val="0"/>
          <w:numId w:val="1006"/>
        </w:numPr>
        <w:pStyle w:val="Compact"/>
      </w:pPr>
      <w:r>
        <w:t xml:space="preserve">для III группы – 6080,38 руб.;</w:t>
      </w:r>
    </w:p>
    <w:p>
      <w:pPr>
        <w:numPr>
          <w:ilvl w:val="0"/>
          <w:numId w:val="1007"/>
        </w:numPr>
        <w:pStyle w:val="Compact"/>
      </w:pPr>
      <w:r>
        <w:t xml:space="preserve">для инвалидов с детства I группы и детей-инвалидов – 17 167,84 руб.</w:t>
      </w:r>
    </w:p>
    <w:p>
      <w:pPr>
        <w:pStyle w:val="FirstParagraph"/>
      </w:pPr>
      <w:r>
        <w:t xml:space="preserve">В Московском регионе порядка 1,1 тыс. инвалидов по зрению I группы получают страховую пенсию.</w:t>
      </w:r>
    </w:p>
    <w:p>
      <w:pPr>
        <w:pStyle w:val="BodyText"/>
      </w:pPr>
      <w:r>
        <w:t xml:space="preserve">Если страховой стаж отсутствует полностью, устанавливается социальная пенсия, размер которой зависит от группы инвалидности:</w:t>
      </w:r>
    </w:p>
    <w:p>
      <w:pPr>
        <w:pStyle w:val="BodyText"/>
      </w:pPr>
      <w:r>
        <w:t xml:space="preserve">Вместе с тем, гражданам с ограниченными возможностями здоровья, в том числе по зрению, ОСФР по г. Москве и Московской области ежемесячно перечисляет денежную выплату (ЕДВ), которая устанавливается в беззаявительном порядке.</w:t>
      </w:r>
    </w:p>
    <w:p>
      <w:pPr>
        <w:pStyle w:val="BodyText"/>
      </w:pPr>
      <w:r>
        <w:t xml:space="preserve">Кроме того, в 2023 году ОСФР приобрело свыше 5,8 тыс. технических средств реабилитации для слабовидящих. Это опорные и тактильные трости, видеоувеличители (ручные и стационарные), специальные устройства для прослушивания «говорящих» книг, медицинские термометры и тонометры с речевым выходом, дисплей Брайля с программой экранного доступа и т.д.</w:t>
      </w:r>
    </w:p>
    <w:p>
      <w:pPr>
        <w:pStyle w:val="BodyText"/>
      </w:pPr>
      <w:r>
        <w:t xml:space="preserve">Для получения консультации можно обратиться в единый контакт-центр взаимодействия с гражданами по номеру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http://yaroslavsky.mos.ru/informatsiya-sotsialnogo-fonda-rossii/detail/12008829.html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2024-07-20T20:25:35Z</dcterms:created>
  <dcterms:modified xsi:type="dcterms:W3CDTF">2024-07-20T20:25:35Z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