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a4a21e99004e0f4e973c1b6109770eccabeeb"/>
    <w:p>
      <w:pPr>
        <w:pStyle w:val="Heading3"/>
      </w:pPr>
      <w:r>
        <w:t xml:space="preserve">Социальный фонд обеспечивает свыше 15,5 млн россиян ежемесячными денежными выплатами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Более 15,5 млн человек в России получают ежемесячные денежные выплаты (ЕДВ). Это граждане с инвалидностью, ветераны боевых действий, граждане, пострадавшие в результате радиационных или техногенных катастроф, Герои России и СССР, члены семей умерших и погибших Героев России и СССР, а также полные кавалеры орденов Славы и Трудовой Славы, Герои Труда и др. Если у гражданина есть право на ЕДВ по нескольким основаниям, ее установят по тому основанию, которое предусматривает более высокий размер выплаты.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заявление на получение ЕДВ можно дистанционно через портал «Госуслуги», а также при личном визите в отделения Социального фонда и МФЦ. Гражданам с инвалидностью, а также гражданам, удостоенным звания Героя России, ЕДВ назначается беззаявительно. Все необходимые сведения Соцфонд получает посредством межведомственного взаимодействия.</w:t>
      </w:r>
    </w:p>
    <w:p>
      <w:pPr>
        <w:pStyle w:val="BodyText"/>
      </w:pPr>
      <w:r>
        <w:t xml:space="preserve">При желании получатели выплат могут выбрать набор социальных услуг взамен части ЕДВ. Сюда входит обеспечение лекарствами по рецепту врача, предоставление путевки на санаторно-курортное лечение, бесплатный проезд на пригородных электричках, а также на поездах дальнего следования к месту лечения и обратно. Исключение составляют Герои России и СССР, члены семей умерших (погибших) Героев России и СССР, а также полные кавалеры орденов Славы и Трудовой Славы, Герои Труда – для этих категорий ЕВД предоставляется в виде ежемесячных денежных выплат.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http://yaroslavsky.mos.ru/informatsiya-sotsialnogo-fonda-rossii/detail/12003379.html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3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3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2025-02-02T07:24:59Z</dcterms:created>
  <dcterms:modified xsi:type="dcterms:W3CDTF">2025-02-02T07:24:59Z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