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beef54ef869752a7436f258886ae1f216be87"/>
    <w:p>
      <w:pPr>
        <w:pStyle w:val="Heading3"/>
      </w:pPr>
      <w:r>
        <w:t xml:space="preserve">ОСФР по г. Москве и Московской области вручило восемь автомобилей «Lada Granta» пострадавшим на производстве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Ключи от новых автомобилей получили жители Москвы, Подмосковья, Дагестана, Брянска и Нижнего Новгорода, пострадавшие на производстве. Данная мера поддержки является частью медицинской, социальной и профессиональной реабилитации. Автотранспорт приобретен за счет средств обязательного социального страхования от несчастных случаев на производстве.</w:t>
      </w:r>
    </w:p>
    <w:p>
      <w:pPr>
        <w:pStyle w:val="BodyText"/>
      </w:pPr>
      <w:r>
        <w:t xml:space="preserve">Автомобили как техническое средство реабилитации выдаются в соответствии с программой реабилитации пострадавшего, которую разрабатывает бюро медико-социальной экспертизы.</w:t>
      </w:r>
    </w:p>
    <w:p>
      <w:pPr>
        <w:pStyle w:val="BodyText"/>
      </w:pPr>
      <w:r>
        <w:rPr>
          <w:iCs/>
          <w:i/>
        </w:rPr>
        <w:t xml:space="preserve">«</w:t>
      </w:r>
      <w:r>
        <w:t xml:space="preserve">Сегодня Отделение Фонда пенсионного и социального страхования Российской Федерации по г. Москве и Московской области выдало восемь адаптированных транспортных средств. Каждое из них оборудовано устройством ручного управления и оснащено с учетом индивидуальных особенностей, что позволяет водителю с ограниченными возможностями здоровья чувствовать себя за рулем уверенно и комфортно, – говорит управляющий ОСФР по г.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– В разные годы владельцы получили травмы на производстве. На момент наступления несчастного случая они были официально трудоустроены, что стало гарантией их защищенности».</w:t>
      </w:r>
    </w:p>
    <w:p>
      <w:pPr>
        <w:pStyle w:val="BodyText"/>
      </w:pPr>
      <w:r>
        <w:t xml:space="preserve">При наличии показаний согласно программе реабилитации пострадавшего и отсутствии противопоказаний, замена автомобилей производится каждые семь лет. Ранее выданные автомобили при этом остаются у хозяев, так как машины выдаются в собственность. Получателям также предусмотрена ежеквартальная выплата денежной компенсации на приобретение горюче-смазочных материалов и текущий ремонт.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http://yaroslavsky.mos.ru/informatsiya-sotsialnogo-fonda-rossii/detail/11945508.html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2025-02-27T23:20:02Z</dcterms:created>
  <dcterms:modified xsi:type="dcterms:W3CDTF">2025-02-27T23:20:02Z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