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b6c4a7ce9d296fa7c7c88c374e3e6c8522afb"/>
    <w:p>
      <w:pPr>
        <w:pStyle w:val="Heading3"/>
      </w:pPr>
      <w:r>
        <w:t xml:space="preserve">Более 2,7 миллиона жителей Москвы и Московской области получили пособие по временной нетрудоспособности в 2023 году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t xml:space="preserve">Согласно данным, в текущем году работающим жителям Москвы и Подмосковья было оформлено свыше 5 миллионов электронных листков нетрудоспособности. Сумма перечисленных средств составила 71,2 миллиарда рублей.</w:t>
      </w:r>
    </w:p>
    <w:p>
      <w:pPr>
        <w:pStyle w:val="BodyText"/>
      </w:pPr>
      <w:r>
        <w:t xml:space="preserve">С 2022 года практически все листки нетрудоспособности оформляются в электронном виде. Исключение предусмотрено для лиц:</w:t>
      </w:r>
    </w:p>
    <w:p>
      <w:pPr>
        <w:numPr>
          <w:ilvl w:val="0"/>
          <w:numId w:val="1001"/>
        </w:numPr>
        <w:pStyle w:val="Compact"/>
      </w:pPr>
      <w:r>
        <w:t xml:space="preserve">сведения о которых составляют государственную и иную охраняемую законом тайну;</w:t>
      </w:r>
    </w:p>
    <w:p>
      <w:pPr>
        <w:numPr>
          <w:ilvl w:val="0"/>
          <w:numId w:val="1002"/>
        </w:numPr>
        <w:pStyle w:val="Compact"/>
      </w:pPr>
      <w:r>
        <w:t xml:space="preserve">в отношении которых реализуются меры государственной защиты.</w:t>
      </w:r>
    </w:p>
    <w:p>
      <w:pPr>
        <w:pStyle w:val="FirstParagraph"/>
      </w:pPr>
      <w:r>
        <w:t xml:space="preserve">Среди преимуществ электронного листка нетрудоспособности — минимизация времени на оформление, исключение возможности его порчи или утери, а также случаев мошенничества.</w:t>
      </w:r>
    </w:p>
    <w:p>
      <w:pPr>
        <w:pStyle w:val="BodyText"/>
      </w:pPr>
      <w:r>
        <w:t xml:space="preserve">В настоящее время для получения листка нетрудоспособности гражданам не требуется подписывать дополнительное согласие. Необходимо только сообщить номер своего СНИЛС. Оформленный больничный лист поступает из медучреждения напрямую к работодателю. Затем необходимые сведения передаются в Социальный фонд в течение трех рабочих дней с даты закрытия больничного. Денежные средства выплачиваются застрахованным не позднее 10 рабочих дней с момента получения сведений. Размер пособия зависит от среднего заработка за предыдущие два года и страхового стажа сотрудника. При стаже 8 и более лет он составит 100% среднего заработка, от 5 до 8 лет — 80%, менее 5 лет — 60%.</w:t>
      </w:r>
    </w:p>
    <w:p>
      <w:pPr>
        <w:pStyle w:val="BodyText"/>
      </w:pPr>
      <w:r>
        <w:t xml:space="preserve">ВАЖНО! За первые три дня болезни работодатель самостоятельно рассчитывает и выплачивает пособие из собственных средств, а с четвертого дня это делает Социальный фонд России. Если же работник ухаживает за больным членом семьи, находится на карантине, проходит протезирование или долечивается в санатории, пособие выплачивается за счет средств Социального фонда с первого дня.</w:t>
      </w:r>
    </w:p>
    <w:p>
      <w:pPr>
        <w:pStyle w:val="BodyText"/>
      </w:pPr>
      <w:r>
        <w:t xml:space="preserve">Граждане, у которых есть подтвержденная учетная запись на портале госуслуг, получают информационные сообщения об открытии, продлении и закрытии электронных листков нетрудоспособности.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http://yaroslavsky.mos.ru/informatsiya-sotsialnogo-fonda-rossii/detail/11904526.html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04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04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2025-02-06T20:11:52Z</dcterms:created>
  <dcterms:modified xsi:type="dcterms:W3CDTF">2025-02-06T20:11:52Z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